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sz w:val="36"/>
          <w:szCs w:val="36"/>
        </w:rPr>
      </w:pPr>
      <w:bookmarkStart w:colFirst="0" w:colLast="0" w:name="_heading=h.bxe6pak2sc3" w:id="0"/>
      <w:bookmarkEnd w:id="0"/>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color w:val="274e13"/>
          <w:sz w:val="72"/>
          <w:szCs w:val="72"/>
        </w:rPr>
      </w:pPr>
      <w:r w:rsidDel="00000000" w:rsidR="00000000" w:rsidRPr="00000000">
        <w:rPr>
          <w:rFonts w:ascii="Arial" w:cs="Arial" w:eastAsia="Arial" w:hAnsi="Arial"/>
          <w:b w:val="1"/>
          <w:color w:val="274e13"/>
          <w:sz w:val="72"/>
          <w:szCs w:val="72"/>
          <w:rtl w:val="0"/>
        </w:rPr>
        <w:t xml:space="preserve">Notting Hill College</w:t>
      </w:r>
    </w:p>
    <w:p w:rsidR="00000000" w:rsidDel="00000000" w:rsidP="00000000" w:rsidRDefault="00000000" w:rsidRPr="00000000" w14:paraId="0000000A">
      <w:pPr>
        <w:spacing w:after="0" w:line="360" w:lineRule="auto"/>
        <w:rPr>
          <w:rFonts w:ascii="Arial" w:cs="Arial" w:eastAsia="Arial" w:hAnsi="Arial"/>
          <w:b w:val="1"/>
          <w:color w:val="7f6000"/>
          <w:sz w:val="72"/>
          <w:szCs w:val="72"/>
        </w:rPr>
      </w:pPr>
      <w:r w:rsidDel="00000000" w:rsidR="00000000" w:rsidRPr="00000000">
        <w:rPr>
          <w:rFonts w:ascii="Arial" w:cs="Arial" w:eastAsia="Arial" w:hAnsi="Arial"/>
          <w:b w:val="1"/>
          <w:color w:val="7f6000"/>
          <w:sz w:val="72"/>
          <w:szCs w:val="72"/>
          <w:rtl w:val="0"/>
        </w:rPr>
        <w:t xml:space="preserve">Data Protection Policy</w:t>
      </w:r>
    </w:p>
    <w:p w:rsidR="00000000" w:rsidDel="00000000" w:rsidP="00000000" w:rsidRDefault="00000000" w:rsidRPr="00000000" w14:paraId="0000000B">
      <w:pPr>
        <w:spacing w:after="0" w:line="36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b w:val="1"/>
          <w:color w:val="bf9000"/>
          <w:sz w:val="72"/>
          <w:szCs w:val="72"/>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1"/>
          <w:color w:val="002b51"/>
          <w:sz w:val="72"/>
          <w:szCs w:val="72"/>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15">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Data Protection Policy</w:t>
      </w:r>
    </w:p>
    <w:p w:rsidR="00000000" w:rsidDel="00000000" w:rsidP="00000000" w:rsidRDefault="00000000" w:rsidRPr="00000000" w14:paraId="00000016">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18">
      <w:pPr>
        <w:spacing w:after="0" w:line="240" w:lineRule="auto"/>
        <w:ind w:left="360" w:firstLine="0"/>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Contents</w:t>
      </w:r>
    </w:p>
    <w:p w:rsidR="00000000" w:rsidDel="00000000" w:rsidP="00000000" w:rsidRDefault="00000000" w:rsidRPr="00000000" w14:paraId="00000019">
      <w:pPr>
        <w:spacing w:after="120" w:before="120" w:lineRule="auto"/>
        <w:rPr>
          <w:sz w:val="10"/>
          <w:szCs w:val="1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tabs>
              <w:tab w:val="left" w:leader="none" w:pos="440"/>
              <w:tab w:val="right" w:leader="none" w:pos="9742"/>
            </w:tabs>
            <w:spacing w:after="240" w:lineRule="auto"/>
            <w:rPr>
              <w:rFonts w:ascii="Arial" w:cs="Arial" w:eastAsia="Arial" w:hAnsi="Arial"/>
              <w:sz w:val="24"/>
              <w:szCs w:val="24"/>
            </w:rPr>
          </w:pPr>
          <w:r w:rsidDel="00000000" w:rsidR="00000000" w:rsidRPr="00000000">
            <w:fldChar w:fldCharType="begin"/>
            <w:instrText xml:space="preserve"> TOC \h \u \z \t "Heading 1,1,Heading 2,2,Heading 3,3,"</w:instrText>
            <w:fldChar w:fldCharType="separate"/>
          </w:r>
          <w:hyperlink w:anchor="_heading=h.ueoocjdwh6im">
            <w:r w:rsidDel="00000000" w:rsidR="00000000" w:rsidRPr="00000000">
              <w:rPr>
                <w:rFonts w:ascii="Arial" w:cs="Arial" w:eastAsia="Arial" w:hAnsi="Arial"/>
                <w:rtl w:val="0"/>
              </w:rPr>
              <w:t xml:space="preserve">1.  Introduction</w:t>
              <w:tab/>
            </w:r>
          </w:hyperlink>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1B">
          <w:pPr>
            <w:tabs>
              <w:tab w:val="left" w:leader="none" w:pos="440"/>
              <w:tab w:val="right" w:leader="none" w:pos="9742"/>
            </w:tabs>
            <w:spacing w:after="240" w:lineRule="auto"/>
            <w:rPr>
              <w:rFonts w:ascii="Arial" w:cs="Arial" w:eastAsia="Arial" w:hAnsi="Arial"/>
              <w:sz w:val="24"/>
              <w:szCs w:val="24"/>
            </w:rPr>
          </w:pPr>
          <w:hyperlink w:anchor="_heading=h.4vvrsehrz7wc">
            <w:r w:rsidDel="00000000" w:rsidR="00000000" w:rsidRPr="00000000">
              <w:rPr>
                <w:rFonts w:ascii="Arial" w:cs="Arial" w:eastAsia="Arial" w:hAnsi="Arial"/>
                <w:rtl w:val="0"/>
              </w:rPr>
              <w:t xml:space="preserve">2.</w:t>
            </w:r>
          </w:hyperlink>
          <w:hyperlink w:anchor="_heading=h.4vvrsehrz7wc">
            <w:r w:rsidDel="00000000" w:rsidR="00000000" w:rsidRPr="00000000">
              <w:rPr>
                <w:rFonts w:ascii="Arial" w:cs="Arial" w:eastAsia="Arial" w:hAnsi="Arial"/>
                <w:sz w:val="24"/>
                <w:szCs w:val="24"/>
                <w:rtl w:val="0"/>
              </w:rPr>
              <w:tab/>
            </w:r>
          </w:hyperlink>
          <w:r w:rsidDel="00000000" w:rsidR="00000000" w:rsidRPr="00000000">
            <w:fldChar w:fldCharType="begin"/>
            <w:instrText xml:space="preserve"> PAGEREF _heading=h.4vvrsehrz7wc \h </w:instrText>
            <w:fldChar w:fldCharType="separate"/>
          </w:r>
          <w:r w:rsidDel="00000000" w:rsidR="00000000" w:rsidRPr="00000000">
            <w:rPr>
              <w:rFonts w:ascii="Arial" w:cs="Arial" w:eastAsia="Arial" w:hAnsi="Arial"/>
              <w:rtl w:val="0"/>
            </w:rPr>
            <w:t xml:space="preserve">Data Covered by this Policy</w:t>
            <w:tab/>
          </w:r>
          <w:r w:rsidDel="00000000" w:rsidR="00000000" w:rsidRPr="00000000">
            <w:fldChar w:fldCharType="end"/>
          </w: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01C">
          <w:pPr>
            <w:tabs>
              <w:tab w:val="left" w:leader="none" w:pos="440"/>
              <w:tab w:val="right" w:leader="none" w:pos="9742"/>
            </w:tabs>
            <w:spacing w:after="240" w:lineRule="auto"/>
            <w:rPr>
              <w:rFonts w:ascii="Arial" w:cs="Arial" w:eastAsia="Arial" w:hAnsi="Arial"/>
              <w:sz w:val="24"/>
              <w:szCs w:val="24"/>
            </w:rPr>
          </w:pPr>
          <w:hyperlink w:anchor="_heading=h.m6r2hfg3g9v1">
            <w:r w:rsidDel="00000000" w:rsidR="00000000" w:rsidRPr="00000000">
              <w:rPr>
                <w:rFonts w:ascii="Arial" w:cs="Arial" w:eastAsia="Arial" w:hAnsi="Arial"/>
                <w:rtl w:val="0"/>
              </w:rPr>
              <w:t xml:space="preserve">3.</w:t>
            </w:r>
          </w:hyperlink>
          <w:hyperlink w:anchor="_heading=h.m6r2hfg3g9v1">
            <w:r w:rsidDel="00000000" w:rsidR="00000000" w:rsidRPr="00000000">
              <w:rPr>
                <w:rFonts w:ascii="Arial" w:cs="Arial" w:eastAsia="Arial" w:hAnsi="Arial"/>
                <w:sz w:val="24"/>
                <w:szCs w:val="24"/>
                <w:rtl w:val="0"/>
              </w:rPr>
              <w:tab/>
            </w:r>
          </w:hyperlink>
          <w:r w:rsidDel="00000000" w:rsidR="00000000" w:rsidRPr="00000000">
            <w:fldChar w:fldCharType="begin"/>
            <w:instrText xml:space="preserve"> PAGEREF _heading=h.m6r2hfg3g9v1 \h </w:instrText>
            <w:fldChar w:fldCharType="separate"/>
          </w:r>
          <w:r w:rsidDel="00000000" w:rsidR="00000000" w:rsidRPr="00000000">
            <w:rPr>
              <w:rFonts w:ascii="Arial" w:cs="Arial" w:eastAsia="Arial" w:hAnsi="Arial"/>
              <w:rtl w:val="0"/>
            </w:rPr>
            <w:t xml:space="preserve">Right of Access</w:t>
            <w:tab/>
          </w:r>
          <w:r w:rsidDel="00000000" w:rsidR="00000000" w:rsidRPr="00000000">
            <w:fldChar w:fldCharType="end"/>
          </w:r>
          <w:r w:rsidDel="00000000" w:rsidR="00000000" w:rsidRPr="00000000">
            <w:rPr>
              <w:rFonts w:ascii="Arial" w:cs="Arial" w:eastAsia="Arial" w:hAnsi="Arial"/>
              <w:sz w:val="24"/>
              <w:szCs w:val="24"/>
              <w:rtl w:val="0"/>
            </w:rPr>
            <w:t xml:space="preserve">5</w:t>
          </w:r>
        </w:p>
        <w:p w:rsidR="00000000" w:rsidDel="00000000" w:rsidP="00000000" w:rsidRDefault="00000000" w:rsidRPr="00000000" w14:paraId="0000001D">
          <w:pPr>
            <w:tabs>
              <w:tab w:val="left" w:leader="none" w:pos="440"/>
              <w:tab w:val="right" w:leader="none" w:pos="9742"/>
            </w:tabs>
            <w:spacing w:after="240" w:lineRule="auto"/>
            <w:rPr>
              <w:rFonts w:ascii="Arial" w:cs="Arial" w:eastAsia="Arial" w:hAnsi="Arial"/>
              <w:sz w:val="24"/>
              <w:szCs w:val="24"/>
            </w:rPr>
          </w:pPr>
          <w:hyperlink w:anchor="_heading=h.o0h4md3hmeug">
            <w:r w:rsidDel="00000000" w:rsidR="00000000" w:rsidRPr="00000000">
              <w:rPr>
                <w:rFonts w:ascii="Arial" w:cs="Arial" w:eastAsia="Arial" w:hAnsi="Arial"/>
                <w:rtl w:val="0"/>
              </w:rPr>
              <w:t xml:space="preserve">4.</w:t>
            </w:r>
          </w:hyperlink>
          <w:hyperlink w:anchor="_heading=h.o0h4md3hmeug">
            <w:r w:rsidDel="00000000" w:rsidR="00000000" w:rsidRPr="00000000">
              <w:rPr>
                <w:rFonts w:ascii="Arial" w:cs="Arial" w:eastAsia="Arial" w:hAnsi="Arial"/>
                <w:sz w:val="24"/>
                <w:szCs w:val="24"/>
                <w:rtl w:val="0"/>
              </w:rPr>
              <w:tab/>
            </w:r>
          </w:hyperlink>
          <w:r w:rsidDel="00000000" w:rsidR="00000000" w:rsidRPr="00000000">
            <w:fldChar w:fldCharType="begin"/>
            <w:instrText xml:space="preserve"> PAGEREF _heading=h.o0h4md3hmeug \h </w:instrText>
            <w:fldChar w:fldCharType="separate"/>
          </w:r>
          <w:r w:rsidDel="00000000" w:rsidR="00000000" w:rsidRPr="00000000">
            <w:rPr>
              <w:rFonts w:ascii="Arial" w:cs="Arial" w:eastAsia="Arial" w:hAnsi="Arial"/>
              <w:rtl w:val="0"/>
            </w:rPr>
            <w:t xml:space="preserve">Lawful Basis for Processing Information</w:t>
            <w:tab/>
          </w:r>
          <w:r w:rsidDel="00000000" w:rsidR="00000000" w:rsidRPr="00000000">
            <w:fldChar w:fldCharType="end"/>
          </w:r>
          <w:r w:rsidDel="00000000" w:rsidR="00000000" w:rsidRPr="00000000">
            <w:rPr>
              <w:rFonts w:ascii="Arial" w:cs="Arial" w:eastAsia="Arial" w:hAnsi="Arial"/>
              <w:sz w:val="24"/>
              <w:szCs w:val="24"/>
              <w:rtl w:val="0"/>
            </w:rPr>
            <w:t xml:space="preserve">5</w:t>
          </w:r>
        </w:p>
        <w:p w:rsidR="00000000" w:rsidDel="00000000" w:rsidP="00000000" w:rsidRDefault="00000000" w:rsidRPr="00000000" w14:paraId="0000001E">
          <w:pPr>
            <w:tabs>
              <w:tab w:val="left" w:leader="none" w:pos="440"/>
              <w:tab w:val="right" w:leader="none" w:pos="9742"/>
            </w:tabs>
            <w:spacing w:after="240" w:lineRule="auto"/>
            <w:rPr>
              <w:rFonts w:ascii="Arial" w:cs="Arial" w:eastAsia="Arial" w:hAnsi="Arial"/>
              <w:sz w:val="24"/>
              <w:szCs w:val="24"/>
            </w:rPr>
          </w:pPr>
          <w:hyperlink w:anchor="_heading=h.rk84susa12n6">
            <w:r w:rsidDel="00000000" w:rsidR="00000000" w:rsidRPr="00000000">
              <w:rPr>
                <w:rFonts w:ascii="Arial" w:cs="Arial" w:eastAsia="Arial" w:hAnsi="Arial"/>
                <w:rtl w:val="0"/>
              </w:rPr>
              <w:t xml:space="preserve">5.</w:t>
            </w:r>
          </w:hyperlink>
          <w:hyperlink w:anchor="_heading=h.rk84susa12n6">
            <w:r w:rsidDel="00000000" w:rsidR="00000000" w:rsidRPr="00000000">
              <w:rPr>
                <w:rFonts w:ascii="Arial" w:cs="Arial" w:eastAsia="Arial" w:hAnsi="Arial"/>
                <w:sz w:val="24"/>
                <w:szCs w:val="24"/>
                <w:rtl w:val="0"/>
              </w:rPr>
              <w:tab/>
            </w:r>
          </w:hyperlink>
          <w:r w:rsidDel="00000000" w:rsidR="00000000" w:rsidRPr="00000000">
            <w:fldChar w:fldCharType="begin"/>
            <w:instrText xml:space="preserve"> PAGEREF _heading=h.rk84susa12n6 \h </w:instrText>
            <w:fldChar w:fldCharType="separate"/>
          </w:r>
          <w:r w:rsidDel="00000000" w:rsidR="00000000" w:rsidRPr="00000000">
            <w:rPr>
              <w:rFonts w:ascii="Arial" w:cs="Arial" w:eastAsia="Arial" w:hAnsi="Arial"/>
              <w:rtl w:val="0"/>
            </w:rPr>
            <w:t xml:space="preserve">Personal Data Breaches</w:t>
            <w:tab/>
          </w:r>
          <w:r w:rsidDel="00000000" w:rsidR="00000000" w:rsidRPr="00000000">
            <w:fldChar w:fldCharType="end"/>
          </w:r>
          <w:r w:rsidDel="00000000" w:rsidR="00000000" w:rsidRPr="00000000">
            <w:rPr>
              <w:rFonts w:ascii="Arial" w:cs="Arial" w:eastAsia="Arial" w:hAnsi="Arial"/>
              <w:sz w:val="24"/>
              <w:szCs w:val="24"/>
              <w:rtl w:val="0"/>
            </w:rPr>
            <w:t xml:space="preserve">6</w:t>
          </w:r>
        </w:p>
        <w:p w:rsidR="00000000" w:rsidDel="00000000" w:rsidP="00000000" w:rsidRDefault="00000000" w:rsidRPr="00000000" w14:paraId="0000001F">
          <w:pPr>
            <w:tabs>
              <w:tab w:val="left" w:leader="none" w:pos="440"/>
              <w:tab w:val="right" w:leader="none" w:pos="9742"/>
            </w:tabs>
            <w:spacing w:after="240" w:lineRule="auto"/>
            <w:rPr>
              <w:rFonts w:ascii="Arial" w:cs="Arial" w:eastAsia="Arial" w:hAnsi="Arial"/>
              <w:sz w:val="24"/>
              <w:szCs w:val="24"/>
            </w:rPr>
          </w:pPr>
          <w:hyperlink w:anchor="_heading=h.h3bflpftm7o6">
            <w:r w:rsidDel="00000000" w:rsidR="00000000" w:rsidRPr="00000000">
              <w:rPr>
                <w:rFonts w:ascii="Arial" w:cs="Arial" w:eastAsia="Arial" w:hAnsi="Arial"/>
                <w:rtl w:val="0"/>
              </w:rPr>
              <w:t xml:space="preserve">6.</w:t>
            </w:r>
          </w:hyperlink>
          <w:hyperlink w:anchor="_heading=h.h3bflpftm7o6">
            <w:r w:rsidDel="00000000" w:rsidR="00000000" w:rsidRPr="00000000">
              <w:rPr>
                <w:rFonts w:ascii="Arial" w:cs="Arial" w:eastAsia="Arial" w:hAnsi="Arial"/>
                <w:sz w:val="24"/>
                <w:szCs w:val="24"/>
                <w:rtl w:val="0"/>
              </w:rPr>
              <w:tab/>
            </w:r>
          </w:hyperlink>
          <w:r w:rsidDel="00000000" w:rsidR="00000000" w:rsidRPr="00000000">
            <w:fldChar w:fldCharType="begin"/>
            <w:instrText xml:space="preserve"> PAGEREF _heading=h.h3bflpftm7o6 \h </w:instrText>
            <w:fldChar w:fldCharType="separate"/>
          </w:r>
          <w:r w:rsidDel="00000000" w:rsidR="00000000" w:rsidRPr="00000000">
            <w:rPr>
              <w:rFonts w:ascii="Arial" w:cs="Arial" w:eastAsia="Arial" w:hAnsi="Arial"/>
              <w:rtl w:val="0"/>
            </w:rPr>
            <w:t xml:space="preserve">The Centre’s Commitment to Data Protection</w:t>
            <w:tab/>
          </w:r>
          <w:r w:rsidDel="00000000" w:rsidR="00000000" w:rsidRPr="00000000">
            <w:fldChar w:fldCharType="end"/>
          </w: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20">
          <w:pPr>
            <w:tabs>
              <w:tab w:val="left" w:leader="none" w:pos="440"/>
              <w:tab w:val="right" w:leader="none" w:pos="9742"/>
            </w:tabs>
            <w:spacing w:after="240" w:lineRule="auto"/>
            <w:rPr>
              <w:rFonts w:ascii="Arial" w:cs="Arial" w:eastAsia="Arial" w:hAnsi="Arial"/>
              <w:sz w:val="24"/>
              <w:szCs w:val="24"/>
            </w:rPr>
          </w:pPr>
          <w:hyperlink w:anchor="_heading=h.xjwswgm7gi74">
            <w:r w:rsidDel="00000000" w:rsidR="00000000" w:rsidRPr="00000000">
              <w:rPr>
                <w:rFonts w:ascii="Arial" w:cs="Arial" w:eastAsia="Arial" w:hAnsi="Arial"/>
                <w:rtl w:val="0"/>
              </w:rPr>
              <w:t xml:space="preserve">7.</w:t>
            </w:r>
          </w:hyperlink>
          <w:hyperlink w:anchor="_heading=h.xjwswgm7gi74">
            <w:r w:rsidDel="00000000" w:rsidR="00000000" w:rsidRPr="00000000">
              <w:rPr>
                <w:rFonts w:ascii="Arial" w:cs="Arial" w:eastAsia="Arial" w:hAnsi="Arial"/>
                <w:sz w:val="24"/>
                <w:szCs w:val="24"/>
                <w:rtl w:val="0"/>
              </w:rPr>
              <w:tab/>
            </w:r>
          </w:hyperlink>
          <w:r w:rsidDel="00000000" w:rsidR="00000000" w:rsidRPr="00000000">
            <w:fldChar w:fldCharType="begin"/>
            <w:instrText xml:space="preserve"> PAGEREF _heading=h.xjwswgm7gi74 \h </w:instrText>
            <w:fldChar w:fldCharType="separate"/>
          </w:r>
          <w:r w:rsidDel="00000000" w:rsidR="00000000" w:rsidRPr="00000000">
            <w:rPr>
              <w:rFonts w:ascii="Arial" w:cs="Arial" w:eastAsia="Arial" w:hAnsi="Arial"/>
              <w:rtl w:val="0"/>
            </w:rPr>
            <w:t xml:space="preserve">Version History</w:t>
            <w:tab/>
          </w:r>
          <w:r w:rsidDel="00000000" w:rsidR="00000000" w:rsidRPr="00000000">
            <w:fldChar w:fldCharType="end"/>
          </w: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21">
          <w:pPr>
            <w:tabs>
              <w:tab w:val="left" w:leader="none" w:pos="284"/>
            </w:tabs>
            <w:spacing w:after="120" w:before="12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3">
      <w:pPr>
        <w:rPr>
          <w:rFonts w:ascii="Arial" w:cs="Arial" w:eastAsia="Arial" w:hAnsi="Arial"/>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26">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Data Protection Policy</w:t>
      </w:r>
    </w:p>
    <w:p w:rsidR="00000000" w:rsidDel="00000000" w:rsidP="00000000" w:rsidRDefault="00000000" w:rsidRPr="00000000" w14:paraId="00000027">
      <w:pPr>
        <w:spacing w:after="0" w:line="240" w:lineRule="auto"/>
        <w:rPr>
          <w:rFonts w:ascii="Arial" w:cs="Arial" w:eastAsia="Arial" w:hAnsi="Arial"/>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sz w:val="12"/>
          <w:szCs w:val="12"/>
        </w:rPr>
      </w:pPr>
      <w:r w:rsidDel="00000000" w:rsidR="00000000" w:rsidRPr="00000000">
        <w:rPr>
          <w:rtl w:val="0"/>
        </w:rPr>
      </w:r>
    </w:p>
    <w:tbl>
      <w:tblPr>
        <w:tblStyle w:val="Table1"/>
        <w:tblW w:w="97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400"/>
      </w:tblPr>
      <w:tblGrid>
        <w:gridCol w:w="1980"/>
        <w:gridCol w:w="4395"/>
        <w:gridCol w:w="2085"/>
        <w:gridCol w:w="1320"/>
        <w:tblGridChange w:id="0">
          <w:tblGrid>
            <w:gridCol w:w="1980"/>
            <w:gridCol w:w="4395"/>
            <w:gridCol w:w="2085"/>
            <w:gridCol w:w="1320"/>
          </w:tblGrid>
        </w:tblGridChange>
      </w:tblGrid>
      <w:tr>
        <w:trPr>
          <w:cantSplit w:val="0"/>
          <w:trHeight w:val="397" w:hRule="atLeast"/>
          <w:tblHeader w:val="0"/>
        </w:trPr>
        <w:tc>
          <w:tcPr>
            <w:gridSpan w:val="4"/>
            <w:tcBorders>
              <w:top w:color="000000" w:space="0" w:sz="6" w:val="single"/>
              <w:left w:color="000000" w:space="0" w:sz="6" w:val="single"/>
              <w:bottom w:color="000000" w:space="0" w:sz="6" w:val="single"/>
              <w:right w:color="000000" w:space="0" w:sz="6" w:val="single"/>
            </w:tcBorders>
            <w:shd w:fill="c4ae69" w:val="clear"/>
            <w:vAlign w:val="center"/>
          </w:tcPr>
          <w:p w:rsidR="00000000" w:rsidDel="00000000" w:rsidP="00000000" w:rsidRDefault="00000000" w:rsidRPr="00000000" w14:paraId="0000002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Centre Details</w:t>
            </w:r>
          </w:p>
        </w:tc>
      </w:tr>
      <w:tr>
        <w:trPr>
          <w:cantSplit w:val="0"/>
          <w:trHeight w:val="397" w:hRule="atLeast"/>
          <w:tblHeader w:val="0"/>
        </w:trPr>
        <w:tc>
          <w:tcPr>
            <w:tcBorders>
              <w:top w:color="000000" w:space="0" w:sz="6" w:val="single"/>
            </w:tcBorders>
            <w:shd w:fill="ede2be" w:val="clear"/>
            <w:vAlign w:val="center"/>
          </w:tcPr>
          <w:p w:rsidR="00000000" w:rsidDel="00000000" w:rsidP="00000000" w:rsidRDefault="00000000" w:rsidRPr="00000000" w14:paraId="000000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Centre Name:</w:t>
            </w:r>
          </w:p>
        </w:tc>
        <w:tc>
          <w:tcPr>
            <w:tcBorders>
              <w:top w:color="000000" w:space="0" w:sz="6" w:val="single"/>
              <w:right w:color="000000" w:space="0" w:sz="6" w:val="single"/>
            </w:tcBorders>
            <w:shd w:fill="auto" w:val="clear"/>
            <w:vAlign w:val="center"/>
          </w:tcPr>
          <w:p w:rsidR="00000000" w:rsidDel="00000000" w:rsidP="00000000" w:rsidRDefault="00000000" w:rsidRPr="00000000" w14:paraId="0000002F">
            <w:pPr>
              <w:spacing w:after="0" w:before="120" w:line="240" w:lineRule="auto"/>
              <w:rPr>
                <w:rFonts w:ascii="Arial" w:cs="Arial" w:eastAsia="Arial" w:hAnsi="Arial"/>
              </w:rPr>
            </w:pPr>
            <w:r w:rsidDel="00000000" w:rsidR="00000000" w:rsidRPr="00000000">
              <w:rPr>
                <w:rFonts w:ascii="Arial" w:cs="Arial" w:eastAsia="Arial" w:hAnsi="Arial"/>
                <w:rtl w:val="0"/>
              </w:rPr>
              <w:t xml:space="preserve">Notting Hill College</w:t>
            </w:r>
          </w:p>
        </w:tc>
        <w:tc>
          <w:tcPr>
            <w:tcBorders>
              <w:top w:color="000000" w:space="0" w:sz="6" w:val="single"/>
              <w:left w:color="000000" w:space="0" w:sz="6" w:val="single"/>
              <w:bottom w:color="000000" w:space="0" w:sz="6" w:val="single"/>
              <w:right w:color="000000" w:space="0" w:sz="6" w:val="single"/>
            </w:tcBorders>
            <w:shd w:fill="ede2be" w:val="clear"/>
            <w:vAlign w:val="center"/>
          </w:tcPr>
          <w:p w:rsidR="00000000" w:rsidDel="00000000" w:rsidP="00000000" w:rsidRDefault="00000000" w:rsidRPr="00000000" w14:paraId="00000030">
            <w:pPr>
              <w:spacing w:after="0" w:before="120" w:line="240" w:lineRule="auto"/>
              <w:rPr>
                <w:rFonts w:ascii="Arial" w:cs="Arial" w:eastAsia="Arial" w:hAnsi="Arial"/>
                <w:b w:val="1"/>
              </w:rPr>
            </w:pPr>
            <w:r w:rsidDel="00000000" w:rsidR="00000000" w:rsidRPr="00000000">
              <w:rPr>
                <w:rFonts w:ascii="Arial" w:cs="Arial" w:eastAsia="Arial" w:hAnsi="Arial"/>
                <w:b w:val="1"/>
                <w:rtl w:val="0"/>
              </w:rPr>
              <w:t xml:space="preserve">Centre Number:</w:t>
            </w:r>
          </w:p>
        </w:tc>
        <w:tc>
          <w:tcPr>
            <w:tcBorders>
              <w:top w:color="000000" w:space="0" w:sz="6" w:val="single"/>
              <w:left w:color="000000" w:space="0" w:sz="6" w:val="single"/>
            </w:tcBorders>
            <w:shd w:fill="auto" w:val="clear"/>
            <w:vAlign w:val="center"/>
          </w:tcPr>
          <w:p w:rsidR="00000000" w:rsidDel="00000000" w:rsidP="00000000" w:rsidRDefault="00000000" w:rsidRPr="00000000" w14:paraId="00000031">
            <w:pPr>
              <w:spacing w:after="0" w:before="120" w:line="24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32">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Throughout this policy, the term ‘the Centre’ will be used to refer to the Centre details above.</w:t>
      </w:r>
    </w:p>
    <w:p w:rsidR="00000000" w:rsidDel="00000000" w:rsidP="00000000" w:rsidRDefault="00000000" w:rsidRPr="00000000" w14:paraId="00000035">
      <w:pPr>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sz w:val="12"/>
          <w:szCs w:val="12"/>
        </w:rPr>
      </w:pPr>
      <w:r w:rsidDel="00000000" w:rsidR="00000000" w:rsidRPr="00000000">
        <w:rPr>
          <w:rtl w:val="0"/>
        </w:rPr>
      </w:r>
    </w:p>
    <w:tbl>
      <w:tblPr>
        <w:tblStyle w:val="Table2"/>
        <w:tblW w:w="97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400"/>
      </w:tblPr>
      <w:tblGrid>
        <w:gridCol w:w="2580"/>
        <w:gridCol w:w="2805"/>
        <w:gridCol w:w="2235"/>
        <w:gridCol w:w="2160"/>
        <w:tblGridChange w:id="0">
          <w:tblGrid>
            <w:gridCol w:w="2580"/>
            <w:gridCol w:w="2805"/>
            <w:gridCol w:w="2235"/>
            <w:gridCol w:w="2160"/>
          </w:tblGrid>
        </w:tblGridChange>
      </w:tblGrid>
      <w:tr>
        <w:trPr>
          <w:cantSplit w:val="0"/>
          <w:trHeight w:val="397" w:hRule="atLeast"/>
          <w:tblHeader w:val="0"/>
        </w:trPr>
        <w:tc>
          <w:tcPr>
            <w:gridSpan w:val="4"/>
            <w:tcBorders>
              <w:left w:color="808080" w:space="0" w:sz="4" w:val="single"/>
            </w:tcBorders>
            <w:shd w:fill="c4ae69" w:val="clear"/>
            <w:vAlign w:val="center"/>
          </w:tcPr>
          <w:p w:rsidR="00000000" w:rsidDel="00000000" w:rsidP="00000000" w:rsidRDefault="00000000" w:rsidRPr="00000000" w14:paraId="0000003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Policy Details</w:t>
            </w:r>
          </w:p>
        </w:tc>
      </w:tr>
      <w:tr>
        <w:trPr>
          <w:cantSplit w:val="0"/>
          <w:trHeight w:val="397" w:hRule="atLeast"/>
          <w:tblHeader w:val="0"/>
        </w:trPr>
        <w:tc>
          <w:tcPr>
            <w:tcBorders>
              <w:left w:color="808080" w:space="0" w:sz="4" w:val="single"/>
            </w:tcBorders>
            <w:shd w:fill="ede2be" w:val="clear"/>
            <w:vAlign w:val="center"/>
          </w:tcPr>
          <w:p w:rsidR="00000000" w:rsidDel="00000000" w:rsidP="00000000" w:rsidRDefault="00000000" w:rsidRPr="00000000" w14:paraId="0000003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Published:</w:t>
            </w:r>
          </w:p>
        </w:tc>
        <w:tc>
          <w:tcPr>
            <w:shd w:fill="auto" w:val="clear"/>
            <w:vAlign w:val="center"/>
          </w:tcPr>
          <w:p w:rsidR="00000000" w:rsidDel="00000000" w:rsidP="00000000" w:rsidRDefault="00000000" w:rsidRPr="00000000" w14:paraId="0000003C">
            <w:pPr>
              <w:spacing w:after="0" w:before="120" w:line="240" w:lineRule="auto"/>
              <w:rPr>
                <w:rFonts w:ascii="Arial" w:cs="Arial" w:eastAsia="Arial" w:hAnsi="Arial"/>
                <w:b w:val="1"/>
                <w:sz w:val="21"/>
                <w:szCs w:val="21"/>
              </w:rPr>
            </w:pPr>
            <w:r w:rsidDel="00000000" w:rsidR="00000000" w:rsidRPr="00000000">
              <w:rPr>
                <w:rFonts w:ascii="Arial" w:cs="Arial" w:eastAsia="Arial" w:hAnsi="Arial"/>
                <w:sz w:val="21"/>
                <w:szCs w:val="21"/>
                <w:rtl w:val="0"/>
              </w:rPr>
              <w:t xml:space="preserve">14 May 2025</w:t>
            </w:r>
            <w:r w:rsidDel="00000000" w:rsidR="00000000" w:rsidRPr="00000000">
              <w:rPr>
                <w:rtl w:val="0"/>
              </w:rPr>
            </w:r>
          </w:p>
        </w:tc>
        <w:tc>
          <w:tcPr>
            <w:shd w:fill="ede2be" w:val="clear"/>
            <w:vAlign w:val="center"/>
          </w:tcPr>
          <w:p w:rsidR="00000000" w:rsidDel="00000000" w:rsidP="00000000" w:rsidRDefault="00000000" w:rsidRPr="00000000" w14:paraId="0000003D">
            <w:pPr>
              <w:spacing w:after="0" w:before="120" w:line="240" w:lineRule="auto"/>
              <w:rPr>
                <w:rFonts w:ascii="Arial" w:cs="Arial" w:eastAsia="Arial" w:hAnsi="Arial"/>
                <w:b w:val="1"/>
              </w:rPr>
            </w:pPr>
            <w:r w:rsidDel="00000000" w:rsidR="00000000" w:rsidRPr="00000000">
              <w:rPr>
                <w:rFonts w:ascii="Arial" w:cs="Arial" w:eastAsia="Arial" w:hAnsi="Arial"/>
                <w:b w:val="1"/>
                <w:rtl w:val="0"/>
              </w:rPr>
              <w:t xml:space="preserve">Version Number:</w:t>
            </w:r>
          </w:p>
        </w:tc>
        <w:tc>
          <w:tcPr>
            <w:shd w:fill="auto" w:val="clear"/>
            <w:vAlign w:val="center"/>
          </w:tcPr>
          <w:p w:rsidR="00000000" w:rsidDel="00000000" w:rsidP="00000000" w:rsidRDefault="00000000" w:rsidRPr="00000000" w14:paraId="0000003E">
            <w:pPr>
              <w:spacing w:after="0" w:before="12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DPPV2025</w:t>
            </w:r>
          </w:p>
        </w:tc>
      </w:tr>
      <w:tr>
        <w:trPr>
          <w:cantSplit w:val="0"/>
          <w:trHeight w:val="397" w:hRule="atLeast"/>
          <w:tblHeader w:val="0"/>
        </w:trPr>
        <w:tc>
          <w:tcPr>
            <w:tcBorders>
              <w:left w:color="808080" w:space="0" w:sz="4" w:val="single"/>
              <w:bottom w:color="808080" w:space="0" w:sz="4" w:val="single"/>
            </w:tcBorders>
            <w:shd w:fill="ede2be" w:val="clear"/>
            <w:vAlign w:val="center"/>
          </w:tcPr>
          <w:p w:rsidR="00000000" w:rsidDel="00000000" w:rsidP="00000000" w:rsidRDefault="00000000" w:rsidRPr="00000000" w14:paraId="0000003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of Next Review:</w:t>
            </w:r>
          </w:p>
        </w:tc>
        <w:tc>
          <w:tcPr>
            <w:gridSpan w:val="3"/>
            <w:shd w:fill="auto" w:val="clear"/>
            <w:vAlign w:val="center"/>
          </w:tcPr>
          <w:p w:rsidR="00000000" w:rsidDel="00000000" w:rsidP="00000000" w:rsidRDefault="00000000" w:rsidRPr="00000000" w14:paraId="00000040">
            <w:pPr>
              <w:spacing w:after="0" w:before="120" w:line="240" w:lineRule="auto"/>
              <w:rPr>
                <w:rFonts w:ascii="Arial" w:cs="Arial" w:eastAsia="Arial" w:hAnsi="Arial"/>
                <w:b w:val="1"/>
                <w:sz w:val="21"/>
                <w:szCs w:val="21"/>
              </w:rPr>
            </w:pPr>
            <w:r w:rsidDel="00000000" w:rsidR="00000000" w:rsidRPr="00000000">
              <w:rPr>
                <w:rFonts w:ascii="Arial" w:cs="Arial" w:eastAsia="Arial" w:hAnsi="Arial"/>
                <w:sz w:val="21"/>
                <w:szCs w:val="21"/>
                <w:rtl w:val="0"/>
              </w:rPr>
              <w:t xml:space="preserve">May 2026</w:t>
            </w:r>
            <w:r w:rsidDel="00000000" w:rsidR="00000000" w:rsidRPr="00000000">
              <w:rPr>
                <w:rtl w:val="0"/>
              </w:rPr>
            </w:r>
          </w:p>
        </w:tc>
      </w:tr>
      <w:tr>
        <w:trPr>
          <w:cantSplit w:val="0"/>
          <w:trHeight w:val="397" w:hRule="atLeast"/>
          <w:tblHeader w:val="0"/>
        </w:trPr>
        <w:tc>
          <w:tcPr>
            <w:gridSpan w:val="2"/>
            <w:tcBorders>
              <w:left w:color="808080" w:space="0" w:sz="4" w:val="single"/>
            </w:tcBorders>
            <w:shd w:fill="ede2be" w:val="clear"/>
            <w:vAlign w:val="center"/>
          </w:tcPr>
          <w:p w:rsidR="00000000" w:rsidDel="00000000" w:rsidP="00000000" w:rsidRDefault="00000000" w:rsidRPr="00000000" w14:paraId="0000004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Individuals Responsible for Policy:</w:t>
            </w:r>
          </w:p>
        </w:tc>
        <w:tc>
          <w:tcPr>
            <w:gridSpan w:val="2"/>
            <w:shd w:fill="auto" w:val="clear"/>
            <w:vAlign w:val="center"/>
          </w:tcPr>
          <w:p w:rsidR="00000000" w:rsidDel="00000000" w:rsidP="00000000" w:rsidRDefault="00000000" w:rsidRPr="00000000" w14:paraId="00000045">
            <w:pPr>
              <w:spacing w:after="0" w:before="12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Amira Madkour and Iryna Hurkova</w:t>
            </w:r>
          </w:p>
        </w:tc>
      </w:tr>
    </w:tbl>
    <w:p w:rsidR="00000000" w:rsidDel="00000000" w:rsidP="00000000" w:rsidRDefault="00000000" w:rsidRPr="00000000" w14:paraId="00000047">
      <w:pPr>
        <w:rPr>
          <w:rFonts w:ascii="Arial" w:cs="Arial" w:eastAsia="Arial" w:hAnsi="Arial"/>
          <w:b w:val="1"/>
          <w:color w:val="7f6000"/>
        </w:rPr>
      </w:pPr>
      <w:r w:rsidDel="00000000" w:rsidR="00000000" w:rsidRPr="00000000">
        <w:rPr>
          <w:rtl w:val="0"/>
        </w:rPr>
      </w:r>
    </w:p>
    <w:p w:rsidR="00000000" w:rsidDel="00000000" w:rsidP="00000000" w:rsidRDefault="00000000" w:rsidRPr="00000000" w14:paraId="00000048">
      <w:pPr>
        <w:rPr>
          <w:rFonts w:ascii="Arial" w:cs="Arial" w:eastAsia="Arial" w:hAnsi="Arial"/>
          <w:b w:val="1"/>
          <w:color w:val="7f6000"/>
        </w:rPr>
      </w:pPr>
      <w:r w:rsidDel="00000000" w:rsidR="00000000" w:rsidRPr="00000000">
        <w:rPr>
          <w:rtl w:val="0"/>
        </w:rPr>
      </w:r>
    </w:p>
    <w:p w:rsidR="00000000" w:rsidDel="00000000" w:rsidP="00000000" w:rsidRDefault="00000000" w:rsidRPr="00000000" w14:paraId="00000049">
      <w:pPr>
        <w:rPr>
          <w:rFonts w:ascii="Arial Black" w:cs="Arial Black" w:eastAsia="Arial Black" w:hAnsi="Arial Black"/>
          <w:b w:val="1"/>
          <w:color w:val="7f6000"/>
        </w:rPr>
      </w:pPr>
      <w:bookmarkStart w:colFirst="0" w:colLast="0" w:name="_heading=h.ueoocjdwh6im" w:id="1"/>
      <w:bookmarkEnd w:id="1"/>
      <w:r w:rsidDel="00000000" w:rsidR="00000000" w:rsidRPr="00000000">
        <w:rPr>
          <w:rFonts w:ascii="Arial Black" w:cs="Arial Black" w:eastAsia="Arial Black" w:hAnsi="Arial Black"/>
          <w:b w:val="1"/>
          <w:color w:val="7f6000"/>
          <w:rtl w:val="0"/>
        </w:rPr>
        <w:t xml:space="preserve">1.  Introduction</w:t>
      </w:r>
    </w:p>
    <w:p w:rsidR="00000000" w:rsidDel="00000000" w:rsidP="00000000" w:rsidRDefault="00000000" w:rsidRPr="00000000" w14:paraId="0000004A">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In order to operate efficiently and effectively, the Centre must collect personal data about individuals it works with and colleagues. This may include learners, assessors, IQA officers, suppliers, employees (past, current and prospective), casual workers, subcontractors, Centre representatives and others with whom it communicates.</w:t>
      </w:r>
    </w:p>
    <w:p w:rsidR="00000000" w:rsidDel="00000000" w:rsidP="00000000" w:rsidRDefault="00000000" w:rsidRPr="00000000" w14:paraId="0000004B">
      <w:pPr>
        <w:spacing w:after="0" w:lineRule="auto"/>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C">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The Centre is also required to collect and use information in order to comply with regulatory and statutory requirements.</w:t>
      </w:r>
    </w:p>
    <w:p w:rsidR="00000000" w:rsidDel="00000000" w:rsidP="00000000" w:rsidRDefault="00000000" w:rsidRPr="00000000" w14:paraId="0000004D">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The processing of personal data must be dealt with in accordance with the regulations as stated under the Data Protection legislation to ensure compliance. The legislation regulates the way the personal data collected is handled and gives certain rights to individuals relating to their personal data.</w:t>
      </w:r>
    </w:p>
    <w:p w:rsidR="00000000" w:rsidDel="00000000" w:rsidP="00000000" w:rsidRDefault="00000000" w:rsidRPr="00000000" w14:paraId="0000004F">
      <w:pPr>
        <w:spacing w:after="0" w:lineRule="auto"/>
        <w:ind w:left="720" w:firstLine="0"/>
        <w:rPr>
          <w:rFonts w:ascii="Arial" w:cs="Arial" w:eastAsia="Arial" w:hAnsi="Arial"/>
          <w:color w:val="0070c0"/>
        </w:rPr>
      </w:pPr>
      <w:r w:rsidDel="00000000" w:rsidR="00000000" w:rsidRPr="00000000">
        <w:rPr>
          <w:rtl w:val="0"/>
        </w:rPr>
      </w:r>
    </w:p>
    <w:p w:rsidR="00000000" w:rsidDel="00000000" w:rsidP="00000000" w:rsidRDefault="00000000" w:rsidRPr="00000000" w14:paraId="00000050">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The Centre considers that the correct processing of personal data is integral to the success of its business and to maintaining the trust of the individuals it deals with. The underlying principles of the legislation are fundamental to the Centre, and it fully supports and adheres to its provisions.</w:t>
      </w:r>
    </w:p>
    <w:p w:rsidR="00000000" w:rsidDel="00000000" w:rsidP="00000000" w:rsidRDefault="00000000" w:rsidRPr="00000000" w14:paraId="00000051">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54">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Data Protection Policy</w:t>
      </w:r>
    </w:p>
    <w:p w:rsidR="00000000" w:rsidDel="00000000" w:rsidP="00000000" w:rsidRDefault="00000000" w:rsidRPr="00000000" w14:paraId="00000055">
      <w:pPr>
        <w:spacing w:after="0" w:line="240" w:lineRule="auto"/>
        <w:rPr>
          <w:rFonts w:ascii="Arial" w:cs="Arial" w:eastAsia="Arial" w:hAnsi="Arial"/>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Data must be:</w:t>
      </w:r>
    </w:p>
    <w:p w:rsidR="00000000" w:rsidDel="00000000" w:rsidP="00000000" w:rsidRDefault="00000000" w:rsidRPr="00000000" w14:paraId="00000058">
      <w:pPr>
        <w:spacing w:after="0" w:lineRule="auto"/>
        <w:ind w:left="426"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9">
      <w:pPr>
        <w:spacing w:after="0" w:line="250" w:lineRule="auto"/>
        <w:ind w:left="709" w:firstLine="0"/>
        <w:rPr>
          <w:rFonts w:ascii="Arial" w:cs="Arial" w:eastAsia="Arial" w:hAnsi="Arial"/>
        </w:rPr>
      </w:pPr>
      <w:r w:rsidDel="00000000" w:rsidR="00000000" w:rsidRPr="00000000">
        <w:rPr>
          <w:rFonts w:ascii="Arial" w:cs="Arial" w:eastAsia="Arial" w:hAnsi="Arial"/>
          <w:rtl w:val="0"/>
        </w:rPr>
        <w:t xml:space="preserve">a) Fairly and lawfully processed </w:t>
      </w:r>
    </w:p>
    <w:p w:rsidR="00000000" w:rsidDel="00000000" w:rsidP="00000000" w:rsidRDefault="00000000" w:rsidRPr="00000000" w14:paraId="0000005A">
      <w:pPr>
        <w:spacing w:after="0" w:line="250" w:lineRule="auto"/>
        <w:ind w:left="709" w:firstLine="0"/>
        <w:rPr>
          <w:rFonts w:ascii="Arial" w:cs="Arial" w:eastAsia="Arial" w:hAnsi="Arial"/>
        </w:rPr>
      </w:pPr>
      <w:r w:rsidDel="00000000" w:rsidR="00000000" w:rsidRPr="00000000">
        <w:rPr>
          <w:rFonts w:ascii="Arial" w:cs="Arial" w:eastAsia="Arial" w:hAnsi="Arial"/>
          <w:rtl w:val="0"/>
        </w:rPr>
        <w:t xml:space="preserve">b) Processed for limited purposes </w:t>
      </w:r>
    </w:p>
    <w:p w:rsidR="00000000" w:rsidDel="00000000" w:rsidP="00000000" w:rsidRDefault="00000000" w:rsidRPr="00000000" w14:paraId="0000005B">
      <w:pPr>
        <w:spacing w:after="0" w:line="250" w:lineRule="auto"/>
        <w:ind w:left="709" w:firstLine="0"/>
        <w:rPr>
          <w:rFonts w:ascii="Arial" w:cs="Arial" w:eastAsia="Arial" w:hAnsi="Arial"/>
        </w:rPr>
      </w:pPr>
      <w:r w:rsidDel="00000000" w:rsidR="00000000" w:rsidRPr="00000000">
        <w:rPr>
          <w:rFonts w:ascii="Arial" w:cs="Arial" w:eastAsia="Arial" w:hAnsi="Arial"/>
          <w:rtl w:val="0"/>
        </w:rPr>
        <w:t xml:space="preserve">c) Adequate, relevant and not excessive </w:t>
      </w:r>
    </w:p>
    <w:p w:rsidR="00000000" w:rsidDel="00000000" w:rsidP="00000000" w:rsidRDefault="00000000" w:rsidRPr="00000000" w14:paraId="0000005C">
      <w:pPr>
        <w:spacing w:after="0" w:line="250" w:lineRule="auto"/>
        <w:ind w:left="709" w:firstLine="0"/>
        <w:rPr>
          <w:rFonts w:ascii="Arial" w:cs="Arial" w:eastAsia="Arial" w:hAnsi="Arial"/>
          <w:b w:val="1"/>
          <w:color w:val="274e13"/>
          <w:sz w:val="28"/>
          <w:szCs w:val="28"/>
        </w:rPr>
      </w:pPr>
      <w:r w:rsidDel="00000000" w:rsidR="00000000" w:rsidRPr="00000000">
        <w:rPr>
          <w:rFonts w:ascii="Arial" w:cs="Arial" w:eastAsia="Arial" w:hAnsi="Arial"/>
          <w:rtl w:val="0"/>
        </w:rPr>
        <w:t xml:space="preserve">d) Accurate </w:t>
      </w:r>
      <w:r w:rsidDel="00000000" w:rsidR="00000000" w:rsidRPr="00000000">
        <w:rPr>
          <w:rtl w:val="0"/>
        </w:rPr>
      </w:r>
    </w:p>
    <w:p w:rsidR="00000000" w:rsidDel="00000000" w:rsidP="00000000" w:rsidRDefault="00000000" w:rsidRPr="00000000" w14:paraId="0000005D">
      <w:pPr>
        <w:spacing w:after="0" w:line="250" w:lineRule="auto"/>
        <w:ind w:left="709" w:firstLine="0"/>
        <w:rPr>
          <w:rFonts w:ascii="Arial" w:cs="Arial" w:eastAsia="Arial" w:hAnsi="Arial"/>
        </w:rPr>
      </w:pPr>
      <w:r w:rsidDel="00000000" w:rsidR="00000000" w:rsidRPr="00000000">
        <w:rPr>
          <w:rFonts w:ascii="Arial" w:cs="Arial" w:eastAsia="Arial" w:hAnsi="Arial"/>
          <w:rtl w:val="0"/>
        </w:rPr>
        <w:t xml:space="preserve">e) Not kept longer than necessary</w:t>
      </w:r>
    </w:p>
    <w:p w:rsidR="00000000" w:rsidDel="00000000" w:rsidP="00000000" w:rsidRDefault="00000000" w:rsidRPr="00000000" w14:paraId="0000005E">
      <w:pPr>
        <w:spacing w:after="0" w:line="250" w:lineRule="auto"/>
        <w:ind w:left="709" w:firstLine="0"/>
        <w:rPr>
          <w:rFonts w:ascii="Arial" w:cs="Arial" w:eastAsia="Arial" w:hAnsi="Arial"/>
        </w:rPr>
      </w:pPr>
      <w:r w:rsidDel="00000000" w:rsidR="00000000" w:rsidRPr="00000000">
        <w:rPr>
          <w:rFonts w:ascii="Arial" w:cs="Arial" w:eastAsia="Arial" w:hAnsi="Arial"/>
          <w:rtl w:val="0"/>
        </w:rPr>
        <w:t xml:space="preserve">f) Secure </w:t>
      </w:r>
    </w:p>
    <w:p w:rsidR="00000000" w:rsidDel="00000000" w:rsidP="00000000" w:rsidRDefault="00000000" w:rsidRPr="00000000" w14:paraId="0000005F">
      <w:pPr>
        <w:spacing w:after="0" w:line="250" w:lineRule="auto"/>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The Centre has nominated</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b w:val="1"/>
          <w:rtl w:val="0"/>
        </w:rPr>
        <w:t xml:space="preserve">Ali Ibrahim</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rtl w:val="0"/>
        </w:rPr>
        <w:t xml:space="preserve">as the Data</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rtl w:val="0"/>
        </w:rPr>
        <w:t xml:space="preserve">Controller who is responsible for, and able to demonstrate, compliance with the principles outlined above. </w:t>
      </w:r>
    </w:p>
    <w:p w:rsidR="00000000" w:rsidDel="00000000" w:rsidP="00000000" w:rsidRDefault="00000000" w:rsidRPr="00000000" w14:paraId="00000061">
      <w:pPr>
        <w:spacing w:after="0" w:lineRule="auto"/>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The Centre will not sell, rent, distribute or otherwise make user data commercially available to any third party, except as described above, or with prior consent. </w:t>
      </w:r>
    </w:p>
    <w:p w:rsidR="00000000" w:rsidDel="00000000" w:rsidP="00000000" w:rsidRDefault="00000000" w:rsidRPr="00000000" w14:paraId="00000063">
      <w:pPr>
        <w:spacing w:after="0" w:lineRule="auto"/>
        <w:ind w:left="79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4">
      <w:pPr>
        <w:numPr>
          <w:ilvl w:val="1"/>
          <w:numId w:val="8"/>
        </w:numPr>
        <w:spacing w:after="0" w:lineRule="auto"/>
        <w:ind w:left="426" w:hanging="432"/>
        <w:jc w:val="both"/>
        <w:rPr>
          <w:rFonts w:ascii="Arial" w:cs="Arial" w:eastAsia="Arial" w:hAnsi="Arial"/>
        </w:rPr>
      </w:pPr>
      <w:r w:rsidDel="00000000" w:rsidR="00000000" w:rsidRPr="00000000">
        <w:rPr>
          <w:rFonts w:ascii="Arial" w:cs="Arial" w:eastAsia="Arial" w:hAnsi="Arial"/>
          <w:rtl w:val="0"/>
        </w:rPr>
        <w:t xml:space="preserve">The security of the data the Centre holds is a key priority, and in order to ensure that its IT systems are safe and secure, it has established procedures that are regularly reviewed and updated. These procedures include password protection with regular updates and complexity requirements, restricted access to sensitive files based on role-specific permissions, use of encrypted storage and data transmission protocols, regular system audits, multi-factor authentication for accessing critical platforms, firewall and antivirus protections, and staff training on data protection and cybersecurity best practices. These measures are designed to prevent unauthorized access, data breaches, and ensure compliance with relevant data protection regulations.</w:t>
      </w:r>
    </w:p>
    <w:p w:rsidR="00000000" w:rsidDel="00000000" w:rsidP="00000000" w:rsidRDefault="00000000" w:rsidRPr="00000000" w14:paraId="00000065">
      <w:pPr>
        <w:spacing w:after="0" w:before="120" w:line="25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before="120" w:line="250" w:lineRule="auto"/>
        <w:rPr>
          <w:rFonts w:ascii="Arial" w:cs="Arial" w:eastAsia="Arial" w:hAnsi="Arial"/>
        </w:rPr>
      </w:pPr>
      <w:r w:rsidDel="00000000" w:rsidR="00000000" w:rsidRPr="00000000">
        <w:rPr>
          <w:rtl w:val="0"/>
        </w:rPr>
      </w:r>
    </w:p>
    <w:p w:rsidR="00000000" w:rsidDel="00000000" w:rsidP="00000000" w:rsidRDefault="00000000" w:rsidRPr="00000000" w14:paraId="00000067">
      <w:pPr>
        <w:numPr>
          <w:ilvl w:val="0"/>
          <w:numId w:val="8"/>
        </w:numPr>
        <w:spacing w:after="0" w:lineRule="auto"/>
        <w:ind w:left="357" w:hanging="360"/>
        <w:rPr>
          <w:rFonts w:ascii="Arial Black" w:cs="Arial Black" w:eastAsia="Arial Black" w:hAnsi="Arial Black"/>
          <w:b w:val="1"/>
          <w:color w:val="7f6000"/>
        </w:rPr>
      </w:pPr>
      <w:bookmarkStart w:colFirst="0" w:colLast="0" w:name="_heading=h.4vvrsehrz7wc" w:id="2"/>
      <w:bookmarkEnd w:id="2"/>
      <w:r w:rsidDel="00000000" w:rsidR="00000000" w:rsidRPr="00000000">
        <w:rPr>
          <w:rFonts w:ascii="Arial Black" w:cs="Arial Black" w:eastAsia="Arial Black" w:hAnsi="Arial Black"/>
          <w:b w:val="1"/>
          <w:color w:val="7f6000"/>
          <w:rtl w:val="0"/>
        </w:rPr>
        <w:t xml:space="preserve">Data Covered by this Policy</w:t>
      </w:r>
    </w:p>
    <w:p w:rsidR="00000000" w:rsidDel="00000000" w:rsidP="00000000" w:rsidRDefault="00000000" w:rsidRPr="00000000" w14:paraId="00000068">
      <w:pPr>
        <w:spacing w:after="0" w:lineRule="auto"/>
        <w:ind w:left="360" w:firstLine="0"/>
        <w:rPr>
          <w:rFonts w:ascii="Arial" w:cs="Arial" w:eastAsia="Arial" w:hAnsi="Arial"/>
          <w:b w:val="1"/>
          <w:color w:val="002b51"/>
          <w:sz w:val="16"/>
          <w:szCs w:val="16"/>
        </w:rPr>
      </w:pPr>
      <w:r w:rsidDel="00000000" w:rsidR="00000000" w:rsidRPr="00000000">
        <w:rPr>
          <w:rtl w:val="0"/>
        </w:rPr>
      </w:r>
    </w:p>
    <w:p w:rsidR="00000000" w:rsidDel="00000000" w:rsidP="00000000" w:rsidRDefault="00000000" w:rsidRPr="00000000" w14:paraId="00000069">
      <w:pPr>
        <w:numPr>
          <w:ilvl w:val="1"/>
          <w:numId w:val="2"/>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The legislation uses the term “personal data.” Regarding the data we hold, personal data means any recorded data held by (either electronically or in paper format) from which a living individual can be identified either directly or indirectly. This may include a variety of data including names, addresses, telephone numbers, unique identity numbers, photographs of individuals, online identifiers and other personal details.</w:t>
      </w:r>
    </w:p>
    <w:p w:rsidR="00000000" w:rsidDel="00000000" w:rsidP="00000000" w:rsidRDefault="00000000" w:rsidRPr="00000000" w14:paraId="0000006A">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6E">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6F">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Data Protection Policy</w:t>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72">
      <w:pPr>
        <w:numPr>
          <w:ilvl w:val="0"/>
          <w:numId w:val="8"/>
        </w:numPr>
        <w:spacing w:after="0" w:lineRule="auto"/>
        <w:ind w:left="357" w:hanging="360"/>
        <w:rPr>
          <w:rFonts w:ascii="Arial Black" w:cs="Arial Black" w:eastAsia="Arial Black" w:hAnsi="Arial Black"/>
          <w:b w:val="1"/>
          <w:color w:val="7f6000"/>
        </w:rPr>
      </w:pPr>
      <w:bookmarkStart w:colFirst="0" w:colLast="0" w:name="_heading=h.m6r2hfg3g9v1" w:id="3"/>
      <w:bookmarkEnd w:id="3"/>
      <w:r w:rsidDel="00000000" w:rsidR="00000000" w:rsidRPr="00000000">
        <w:rPr>
          <w:rFonts w:ascii="Arial Black" w:cs="Arial Black" w:eastAsia="Arial Black" w:hAnsi="Arial Black"/>
          <w:b w:val="1"/>
          <w:color w:val="7f6000"/>
          <w:rtl w:val="0"/>
        </w:rPr>
        <w:t xml:space="preserve">Right of Access</w:t>
      </w:r>
    </w:p>
    <w:p w:rsidR="00000000" w:rsidDel="00000000" w:rsidP="00000000" w:rsidRDefault="00000000" w:rsidRPr="00000000" w14:paraId="00000073">
      <w:pPr>
        <w:spacing w:after="0" w:lineRule="auto"/>
        <w:ind w:left="360" w:firstLine="0"/>
        <w:rPr>
          <w:rFonts w:ascii="Arial" w:cs="Arial" w:eastAsia="Arial" w:hAnsi="Arial"/>
          <w:b w:val="1"/>
          <w:color w:val="002b51"/>
          <w:sz w:val="16"/>
          <w:szCs w:val="16"/>
        </w:rPr>
      </w:pPr>
      <w:r w:rsidDel="00000000" w:rsidR="00000000" w:rsidRPr="00000000">
        <w:rPr>
          <w:rtl w:val="0"/>
        </w:rPr>
      </w:r>
    </w:p>
    <w:p w:rsidR="00000000" w:rsidDel="00000000" w:rsidP="00000000" w:rsidRDefault="00000000" w:rsidRPr="00000000" w14:paraId="00000074">
      <w:pPr>
        <w:numPr>
          <w:ilvl w:val="1"/>
          <w:numId w:val="11"/>
        </w:numPr>
        <w:spacing w:after="0" w:line="250" w:lineRule="auto"/>
        <w:ind w:left="432" w:hanging="432"/>
        <w:rPr>
          <w:rFonts w:ascii="Arial" w:cs="Arial" w:eastAsia="Arial" w:hAnsi="Arial"/>
        </w:rPr>
      </w:pPr>
      <w:r w:rsidDel="00000000" w:rsidR="00000000" w:rsidRPr="00000000">
        <w:rPr>
          <w:rFonts w:ascii="Arial" w:cs="Arial" w:eastAsia="Arial" w:hAnsi="Arial"/>
          <w:rtl w:val="0"/>
        </w:rPr>
        <w:t xml:space="preserve">Individuals have the right to obtain their personal data. </w:t>
      </w:r>
    </w:p>
    <w:p w:rsidR="00000000" w:rsidDel="00000000" w:rsidP="00000000" w:rsidRDefault="00000000" w:rsidRPr="00000000" w14:paraId="00000075">
      <w:pPr>
        <w:spacing w:after="0" w:line="250" w:lineRule="auto"/>
        <w:ind w:left="432" w:firstLine="0"/>
        <w:rPr>
          <w:rFonts w:ascii="Arial" w:cs="Arial" w:eastAsia="Arial" w:hAnsi="Arial"/>
        </w:rPr>
      </w:pPr>
      <w:r w:rsidDel="00000000" w:rsidR="00000000" w:rsidRPr="00000000">
        <w:rPr>
          <w:rtl w:val="0"/>
        </w:rPr>
      </w:r>
    </w:p>
    <w:p w:rsidR="00000000" w:rsidDel="00000000" w:rsidP="00000000" w:rsidRDefault="00000000" w:rsidRPr="00000000" w14:paraId="00000076">
      <w:pPr>
        <w:numPr>
          <w:ilvl w:val="1"/>
          <w:numId w:val="11"/>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If any individual wishes to exercise the right to access their personal data, they should make the request in writing to the Centre. There is no fee applied to a data access request, but a charge may be applied if the request is considered excessive or for multiple copies.</w:t>
      </w:r>
    </w:p>
    <w:p w:rsidR="00000000" w:rsidDel="00000000" w:rsidP="00000000" w:rsidRDefault="00000000" w:rsidRPr="00000000" w14:paraId="00000077">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8">
      <w:pPr>
        <w:numPr>
          <w:ilvl w:val="1"/>
          <w:numId w:val="11"/>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The data will be provided within 28 calendar days. It can be extended by a further two months where requests are complex or numerous, although the Centre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rtl w:val="0"/>
        </w:rPr>
        <w:t xml:space="preserve">will inform the individual of the delay and the explanation, within 28 days of receipt of the request. </w:t>
      </w:r>
    </w:p>
    <w:p w:rsidR="00000000" w:rsidDel="00000000" w:rsidP="00000000" w:rsidRDefault="00000000" w:rsidRPr="00000000" w14:paraId="00000079">
      <w:pPr>
        <w:spacing w:after="0" w:line="360" w:lineRule="auto"/>
        <w:rPr>
          <w:rFonts w:ascii="Arial" w:cs="Arial" w:eastAsia="Arial" w:hAnsi="Arial"/>
          <w:b w:val="1"/>
          <w:color w:val="274e13"/>
          <w:sz w:val="28"/>
          <w:szCs w:val="28"/>
        </w:rPr>
      </w:pPr>
      <w:r w:rsidDel="00000000" w:rsidR="00000000" w:rsidRPr="00000000">
        <w:rPr>
          <w:rtl w:val="0"/>
        </w:rPr>
      </w:r>
    </w:p>
    <w:p w:rsidR="00000000" w:rsidDel="00000000" w:rsidP="00000000" w:rsidRDefault="00000000" w:rsidRPr="00000000" w14:paraId="0000007A">
      <w:pPr>
        <w:numPr>
          <w:ilvl w:val="1"/>
          <w:numId w:val="11"/>
        </w:numPr>
        <w:spacing w:after="0" w:line="250" w:lineRule="auto"/>
        <w:ind w:left="432" w:hanging="432"/>
        <w:rPr>
          <w:rFonts w:ascii="Arial" w:cs="Arial" w:eastAsia="Arial" w:hAnsi="Arial"/>
        </w:rPr>
      </w:pPr>
      <w:r w:rsidDel="00000000" w:rsidR="00000000" w:rsidRPr="00000000">
        <w:rPr>
          <w:rFonts w:ascii="Arial" w:cs="Arial" w:eastAsia="Arial" w:hAnsi="Arial"/>
          <w:rtl w:val="0"/>
        </w:rPr>
        <w:t xml:space="preserve">The legislation provides the following rights for individuals: </w:t>
      </w:r>
    </w:p>
    <w:p w:rsidR="00000000" w:rsidDel="00000000" w:rsidP="00000000" w:rsidRDefault="00000000" w:rsidRPr="00000000" w14:paraId="0000007B">
      <w:pPr>
        <w:spacing w:after="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The right to be informed.</w:t>
      </w:r>
      <w:r w:rsidDel="00000000" w:rsidR="00000000" w:rsidRPr="00000000">
        <w:rPr>
          <w:rtl w:val="0"/>
        </w:rPr>
      </w:r>
    </w:p>
    <w:p w:rsidR="00000000" w:rsidDel="00000000" w:rsidP="00000000" w:rsidRDefault="00000000" w:rsidRPr="00000000" w14:paraId="0000007D">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The right of access. </w:t>
      </w:r>
      <w:r w:rsidDel="00000000" w:rsidR="00000000" w:rsidRPr="00000000">
        <w:rPr>
          <w:rtl w:val="0"/>
        </w:rPr>
      </w:r>
    </w:p>
    <w:p w:rsidR="00000000" w:rsidDel="00000000" w:rsidP="00000000" w:rsidRDefault="00000000" w:rsidRPr="00000000" w14:paraId="0000007E">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The right to rectification. </w:t>
      </w:r>
      <w:r w:rsidDel="00000000" w:rsidR="00000000" w:rsidRPr="00000000">
        <w:rPr>
          <w:rtl w:val="0"/>
        </w:rPr>
      </w:r>
    </w:p>
    <w:p w:rsidR="00000000" w:rsidDel="00000000" w:rsidP="00000000" w:rsidRDefault="00000000" w:rsidRPr="00000000" w14:paraId="0000007F">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The right to erasure.</w:t>
      </w:r>
      <w:r w:rsidDel="00000000" w:rsidR="00000000" w:rsidRPr="00000000">
        <w:rPr>
          <w:rtl w:val="0"/>
        </w:rPr>
      </w:r>
    </w:p>
    <w:p w:rsidR="00000000" w:rsidDel="00000000" w:rsidP="00000000" w:rsidRDefault="00000000" w:rsidRPr="00000000" w14:paraId="00000080">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The right to restrict processing.</w:t>
      </w:r>
      <w:r w:rsidDel="00000000" w:rsidR="00000000" w:rsidRPr="00000000">
        <w:rPr>
          <w:rtl w:val="0"/>
        </w:rPr>
      </w:r>
    </w:p>
    <w:p w:rsidR="00000000" w:rsidDel="00000000" w:rsidP="00000000" w:rsidRDefault="00000000" w:rsidRPr="00000000" w14:paraId="00000081">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The right to data portability. </w:t>
      </w:r>
      <w:r w:rsidDel="00000000" w:rsidR="00000000" w:rsidRPr="00000000">
        <w:rPr>
          <w:rtl w:val="0"/>
        </w:rPr>
      </w:r>
    </w:p>
    <w:p w:rsidR="00000000" w:rsidDel="00000000" w:rsidP="00000000" w:rsidRDefault="00000000" w:rsidRPr="00000000" w14:paraId="00000082">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The right to object. </w:t>
      </w:r>
      <w:r w:rsidDel="00000000" w:rsidR="00000000" w:rsidRPr="00000000">
        <w:rPr>
          <w:rtl w:val="0"/>
        </w:rPr>
      </w:r>
    </w:p>
    <w:p w:rsidR="00000000" w:rsidDel="00000000" w:rsidP="00000000" w:rsidRDefault="00000000" w:rsidRPr="00000000" w14:paraId="00000083">
      <w:pPr>
        <w:numPr>
          <w:ilvl w:val="0"/>
          <w:numId w:val="4"/>
        </w:numPr>
        <w:spacing w:after="2" w:before="2" w:line="240" w:lineRule="auto"/>
        <w:ind w:left="1276" w:hanging="360"/>
        <w:jc w:val="both"/>
        <w:rPr>
          <w:rFonts w:ascii="Arial" w:cs="Arial" w:eastAsia="Arial" w:hAnsi="Arial"/>
          <w:sz w:val="24"/>
          <w:szCs w:val="24"/>
        </w:rPr>
      </w:pPr>
      <w:r w:rsidDel="00000000" w:rsidR="00000000" w:rsidRPr="00000000">
        <w:rPr>
          <w:rFonts w:ascii="Arial" w:cs="Arial" w:eastAsia="Arial" w:hAnsi="Arial"/>
          <w:rtl w:val="0"/>
        </w:rPr>
        <w:t xml:space="preserve">Rights in relation to automated decision making and profiling.</w:t>
      </w:r>
      <w:r w:rsidDel="00000000" w:rsidR="00000000" w:rsidRPr="00000000">
        <w:rPr>
          <w:rtl w:val="0"/>
        </w:rPr>
      </w:r>
    </w:p>
    <w:p w:rsidR="00000000" w:rsidDel="00000000" w:rsidP="00000000" w:rsidRDefault="00000000" w:rsidRPr="00000000" w14:paraId="00000084">
      <w:pPr>
        <w:rPr>
          <w:rFonts w:ascii="Arial Black" w:cs="Arial Black" w:eastAsia="Arial Black" w:hAnsi="Arial Black"/>
          <w:b w:val="1"/>
          <w:color w:val="002b51"/>
        </w:rPr>
      </w:pPr>
      <w:r w:rsidDel="00000000" w:rsidR="00000000" w:rsidRPr="00000000">
        <w:rPr>
          <w:rtl w:val="0"/>
        </w:rPr>
      </w:r>
    </w:p>
    <w:p w:rsidR="00000000" w:rsidDel="00000000" w:rsidP="00000000" w:rsidRDefault="00000000" w:rsidRPr="00000000" w14:paraId="00000085">
      <w:pPr>
        <w:numPr>
          <w:ilvl w:val="0"/>
          <w:numId w:val="8"/>
        </w:numPr>
        <w:spacing w:after="0" w:lineRule="auto"/>
        <w:ind w:left="357" w:hanging="360"/>
        <w:rPr>
          <w:rFonts w:ascii="Arial Black" w:cs="Arial Black" w:eastAsia="Arial Black" w:hAnsi="Arial Black"/>
          <w:b w:val="1"/>
          <w:color w:val="7f6000"/>
        </w:rPr>
      </w:pPr>
      <w:bookmarkStart w:colFirst="0" w:colLast="0" w:name="_heading=h.o0h4md3hmeug" w:id="4"/>
      <w:bookmarkEnd w:id="4"/>
      <w:r w:rsidDel="00000000" w:rsidR="00000000" w:rsidRPr="00000000">
        <w:rPr>
          <w:rFonts w:ascii="Arial Black" w:cs="Arial Black" w:eastAsia="Arial Black" w:hAnsi="Arial Black"/>
          <w:b w:val="1"/>
          <w:color w:val="7f6000"/>
          <w:rtl w:val="0"/>
        </w:rPr>
        <w:t xml:space="preserve">Lawful Basis for Processing Information</w:t>
      </w:r>
    </w:p>
    <w:p w:rsidR="00000000" w:rsidDel="00000000" w:rsidP="00000000" w:rsidRDefault="00000000" w:rsidRPr="00000000" w14:paraId="00000086">
      <w:pPr>
        <w:spacing w:after="0" w:lineRule="auto"/>
        <w:ind w:left="360" w:firstLine="0"/>
        <w:rPr>
          <w:rFonts w:ascii="Arial" w:cs="Arial" w:eastAsia="Arial" w:hAnsi="Arial"/>
          <w:b w:val="1"/>
          <w:color w:val="002b51"/>
          <w:sz w:val="16"/>
          <w:szCs w:val="16"/>
        </w:rPr>
      </w:pPr>
      <w:r w:rsidDel="00000000" w:rsidR="00000000" w:rsidRPr="00000000">
        <w:rPr>
          <w:rtl w:val="0"/>
        </w:rPr>
      </w:r>
    </w:p>
    <w:p w:rsidR="00000000" w:rsidDel="00000000" w:rsidP="00000000" w:rsidRDefault="00000000" w:rsidRPr="00000000" w14:paraId="00000087">
      <w:pPr>
        <w:numPr>
          <w:ilvl w:val="1"/>
          <w:numId w:val="1"/>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In order to process personal data </w:t>
      </w:r>
      <w:r w:rsidDel="00000000" w:rsidR="00000000" w:rsidRPr="00000000">
        <w:rPr>
          <w:rFonts w:ascii="Arial" w:cs="Arial" w:eastAsia="Arial" w:hAnsi="Arial"/>
          <w:b w:val="1"/>
          <w:rtl w:val="0"/>
        </w:rPr>
        <w:t xml:space="preserve">Notting Hill College</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rtl w:val="0"/>
        </w:rPr>
        <w:t xml:space="preserve">must have a valid lawful basis under Article 5 of the legislation. The lawful basis will depend on the purpose of the data and the relationship with the individual. </w:t>
      </w:r>
    </w:p>
    <w:p w:rsidR="00000000" w:rsidDel="00000000" w:rsidP="00000000" w:rsidRDefault="00000000" w:rsidRPr="00000000" w14:paraId="00000088">
      <w:pPr>
        <w:spacing w:after="0" w:line="250" w:lineRule="auto"/>
        <w:ind w:left="43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9">
      <w:pPr>
        <w:numPr>
          <w:ilvl w:val="1"/>
          <w:numId w:val="1"/>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It must be determined before the data is processed and should be documented and stated within the privacy notice. </w:t>
      </w:r>
    </w:p>
    <w:p w:rsidR="00000000" w:rsidDel="00000000" w:rsidP="00000000" w:rsidRDefault="00000000" w:rsidRPr="00000000" w14:paraId="0000008A">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B">
      <w:pPr>
        <w:numPr>
          <w:ilvl w:val="1"/>
          <w:numId w:val="1"/>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The six type of lawful basis are: </w:t>
      </w:r>
    </w:p>
    <w:p w:rsidR="00000000" w:rsidDel="00000000" w:rsidP="00000000" w:rsidRDefault="00000000" w:rsidRPr="00000000" w14:paraId="0000008C">
      <w:pPr>
        <w:spacing w:after="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D">
      <w:pPr>
        <w:numPr>
          <w:ilvl w:val="0"/>
          <w:numId w:val="9"/>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Consent – individuals have given clear consent for a specific purpose.</w:t>
      </w:r>
    </w:p>
    <w:p w:rsidR="00000000" w:rsidDel="00000000" w:rsidP="00000000" w:rsidRDefault="00000000" w:rsidRPr="00000000" w14:paraId="0000008E">
      <w:pPr>
        <w:numPr>
          <w:ilvl w:val="0"/>
          <w:numId w:val="9"/>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Contract – necessary for a contract or specific step prior to a contract. </w:t>
      </w:r>
    </w:p>
    <w:p w:rsidR="00000000" w:rsidDel="00000000" w:rsidP="00000000" w:rsidRDefault="00000000" w:rsidRPr="00000000" w14:paraId="0000008F">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90">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Data Protection Policy</w:t>
      </w:r>
    </w:p>
    <w:p w:rsidR="00000000" w:rsidDel="00000000" w:rsidP="00000000" w:rsidRDefault="00000000" w:rsidRPr="00000000" w14:paraId="00000091">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b w:val="1"/>
          <w:color w:val="7f6000"/>
          <w:sz w:val="28"/>
          <w:szCs w:val="28"/>
        </w:rPr>
      </w:pPr>
      <w:r w:rsidDel="00000000" w:rsidR="00000000" w:rsidRPr="00000000">
        <w:rPr>
          <w:rtl w:val="0"/>
        </w:rPr>
      </w:r>
    </w:p>
    <w:p w:rsidR="00000000" w:rsidDel="00000000" w:rsidP="00000000" w:rsidRDefault="00000000" w:rsidRPr="00000000" w14:paraId="00000093">
      <w:pPr>
        <w:numPr>
          <w:ilvl w:val="0"/>
          <w:numId w:val="9"/>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Legal Obligation – necessary to comply with the law. </w:t>
      </w:r>
    </w:p>
    <w:p w:rsidR="00000000" w:rsidDel="00000000" w:rsidP="00000000" w:rsidRDefault="00000000" w:rsidRPr="00000000" w14:paraId="00000094">
      <w:pPr>
        <w:numPr>
          <w:ilvl w:val="0"/>
          <w:numId w:val="9"/>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Vital interests – necessary to protect someone’s life.</w:t>
      </w:r>
    </w:p>
    <w:p w:rsidR="00000000" w:rsidDel="00000000" w:rsidP="00000000" w:rsidRDefault="00000000" w:rsidRPr="00000000" w14:paraId="00000095">
      <w:pPr>
        <w:numPr>
          <w:ilvl w:val="0"/>
          <w:numId w:val="9"/>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Public task – necessary to perform a task in the public interest with a clear basis in law. </w:t>
      </w:r>
    </w:p>
    <w:p w:rsidR="00000000" w:rsidDel="00000000" w:rsidP="00000000" w:rsidRDefault="00000000" w:rsidRPr="00000000" w14:paraId="00000096">
      <w:pPr>
        <w:numPr>
          <w:ilvl w:val="0"/>
          <w:numId w:val="9"/>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Legitimate interests – necessary for the organisations or a third party’s legitimate interest. </w:t>
      </w:r>
    </w:p>
    <w:p w:rsidR="00000000" w:rsidDel="00000000" w:rsidP="00000000" w:rsidRDefault="00000000" w:rsidRPr="00000000" w14:paraId="00000097">
      <w:pPr>
        <w:spacing w:after="0" w:before="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8">
      <w:pPr>
        <w:numPr>
          <w:ilvl w:val="1"/>
          <w:numId w:val="1"/>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The Centre will ensure that it is compliant with the requirements of the legislation by: </w:t>
      </w:r>
    </w:p>
    <w:p w:rsidR="00000000" w:rsidDel="00000000" w:rsidP="00000000" w:rsidRDefault="00000000" w:rsidRPr="00000000" w14:paraId="00000099">
      <w:pPr>
        <w:spacing w:after="0" w:line="250" w:lineRule="auto"/>
        <w:ind w:left="432"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numPr>
          <w:ilvl w:val="0"/>
          <w:numId w:val="10"/>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Implementing appropriate technical and organisational measures which may include regular internal audits of data processing activities, comprehensive staff training programs on data privacy and security protocols, and systematic reviews and updates of internal HR policies to align with legal and regulatory requirements. </w:t>
      </w:r>
    </w:p>
    <w:p w:rsidR="00000000" w:rsidDel="00000000" w:rsidP="00000000" w:rsidRDefault="00000000" w:rsidRPr="00000000" w14:paraId="0000009B">
      <w:pPr>
        <w:numPr>
          <w:ilvl w:val="0"/>
          <w:numId w:val="10"/>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Maintaining relevant documentation on processing activities.</w:t>
      </w:r>
    </w:p>
    <w:p w:rsidR="00000000" w:rsidDel="00000000" w:rsidP="00000000" w:rsidRDefault="00000000" w:rsidRPr="00000000" w14:paraId="0000009C">
      <w:pPr>
        <w:numPr>
          <w:ilvl w:val="0"/>
          <w:numId w:val="10"/>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Appointing a Data Protection Manager.</w:t>
      </w:r>
    </w:p>
    <w:p w:rsidR="00000000" w:rsidDel="00000000" w:rsidP="00000000" w:rsidRDefault="00000000" w:rsidRPr="00000000" w14:paraId="0000009D">
      <w:pPr>
        <w:numPr>
          <w:ilvl w:val="0"/>
          <w:numId w:val="10"/>
        </w:numPr>
        <w:spacing w:after="2" w:before="2" w:line="240" w:lineRule="auto"/>
        <w:ind w:left="1260" w:hanging="360"/>
        <w:jc w:val="both"/>
        <w:rPr>
          <w:rFonts w:ascii="Arial" w:cs="Arial" w:eastAsia="Arial" w:hAnsi="Arial"/>
        </w:rPr>
      </w:pPr>
      <w:r w:rsidDel="00000000" w:rsidR="00000000" w:rsidRPr="00000000">
        <w:rPr>
          <w:rFonts w:ascii="Arial" w:cs="Arial" w:eastAsia="Arial" w:hAnsi="Arial"/>
          <w:rtl w:val="0"/>
        </w:rPr>
        <w:t xml:space="preserve">Implementing measures that meet the principles of data protection by design and data protection by default. </w:t>
      </w:r>
    </w:p>
    <w:p w:rsidR="00000000" w:rsidDel="00000000" w:rsidP="00000000" w:rsidRDefault="00000000" w:rsidRPr="00000000" w14:paraId="0000009E">
      <w:pPr>
        <w:spacing w:after="0" w:before="120" w:line="25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F">
      <w:pPr>
        <w:numPr>
          <w:ilvl w:val="1"/>
          <w:numId w:val="1"/>
        </w:numPr>
        <w:spacing w:after="0" w:line="250" w:lineRule="auto"/>
        <w:ind w:left="432" w:hanging="432"/>
        <w:jc w:val="both"/>
        <w:rPr>
          <w:rFonts w:ascii="Arial" w:cs="Arial" w:eastAsia="Arial" w:hAnsi="Arial"/>
        </w:rPr>
      </w:pPr>
      <w:r w:rsidDel="00000000" w:rsidR="00000000" w:rsidRPr="00000000">
        <w:rPr>
          <w:rFonts w:ascii="Arial" w:cs="Arial" w:eastAsia="Arial" w:hAnsi="Arial"/>
          <w:rtl w:val="0"/>
        </w:rPr>
        <w:t xml:space="preserve">Measures could include: </w:t>
      </w:r>
    </w:p>
    <w:p w:rsidR="00000000" w:rsidDel="00000000" w:rsidP="00000000" w:rsidRDefault="00000000" w:rsidRPr="00000000" w14:paraId="000000A0">
      <w:pPr>
        <w:spacing w:after="0" w:line="250" w:lineRule="auto"/>
        <w:ind w:left="43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1">
      <w:pPr>
        <w:numPr>
          <w:ilvl w:val="0"/>
          <w:numId w:val="3"/>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Data minimisation (only collect relevant and necessary data and retain as long as necessary)</w:t>
      </w:r>
    </w:p>
    <w:p w:rsidR="00000000" w:rsidDel="00000000" w:rsidP="00000000" w:rsidRDefault="00000000" w:rsidRPr="00000000" w14:paraId="000000A2">
      <w:pPr>
        <w:numPr>
          <w:ilvl w:val="0"/>
          <w:numId w:val="3"/>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Pseudonymisation (process the data in such a way to render it anonymous).</w:t>
      </w:r>
    </w:p>
    <w:p w:rsidR="00000000" w:rsidDel="00000000" w:rsidP="00000000" w:rsidRDefault="00000000" w:rsidRPr="00000000" w14:paraId="000000A3">
      <w:pPr>
        <w:numPr>
          <w:ilvl w:val="0"/>
          <w:numId w:val="3"/>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Transparency.</w:t>
      </w:r>
    </w:p>
    <w:p w:rsidR="00000000" w:rsidDel="00000000" w:rsidP="00000000" w:rsidRDefault="00000000" w:rsidRPr="00000000" w14:paraId="000000A4">
      <w:pPr>
        <w:numPr>
          <w:ilvl w:val="0"/>
          <w:numId w:val="3"/>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Accuracy of data.</w:t>
      </w:r>
    </w:p>
    <w:p w:rsidR="00000000" w:rsidDel="00000000" w:rsidP="00000000" w:rsidRDefault="00000000" w:rsidRPr="00000000" w14:paraId="000000A5">
      <w:pPr>
        <w:numPr>
          <w:ilvl w:val="0"/>
          <w:numId w:val="3"/>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Allowing individuals to monitor processing, and </w:t>
      </w:r>
    </w:p>
    <w:p w:rsidR="00000000" w:rsidDel="00000000" w:rsidP="00000000" w:rsidRDefault="00000000" w:rsidRPr="00000000" w14:paraId="000000A6">
      <w:pPr>
        <w:numPr>
          <w:ilvl w:val="0"/>
          <w:numId w:val="3"/>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Creating and improving security features on an ongoing basis f) use data protection impact assessments (DPIA) where appropriate. The necessity for a DPIA will be considered as part of the initial development of each project relating to data processing.</w:t>
      </w:r>
    </w:p>
    <w:p w:rsidR="00000000" w:rsidDel="00000000" w:rsidP="00000000" w:rsidRDefault="00000000" w:rsidRPr="00000000" w14:paraId="000000A7">
      <w:pPr>
        <w:spacing w:after="0" w:before="120" w:line="250" w:lineRule="auto"/>
        <w:rPr>
          <w:rFonts w:ascii="Arial" w:cs="Arial" w:eastAsia="Arial" w:hAnsi="Arial"/>
        </w:rPr>
      </w:pPr>
      <w:r w:rsidDel="00000000" w:rsidR="00000000" w:rsidRPr="00000000">
        <w:rPr>
          <w:rtl w:val="0"/>
        </w:rPr>
      </w:r>
    </w:p>
    <w:p w:rsidR="00000000" w:rsidDel="00000000" w:rsidP="00000000" w:rsidRDefault="00000000" w:rsidRPr="00000000" w14:paraId="000000A8">
      <w:pPr>
        <w:numPr>
          <w:ilvl w:val="0"/>
          <w:numId w:val="8"/>
        </w:numPr>
        <w:spacing w:after="0" w:lineRule="auto"/>
        <w:ind w:left="357" w:hanging="360"/>
        <w:rPr>
          <w:rFonts w:ascii="Arial Black" w:cs="Arial Black" w:eastAsia="Arial Black" w:hAnsi="Arial Black"/>
          <w:b w:val="1"/>
          <w:color w:val="7f6000"/>
        </w:rPr>
      </w:pPr>
      <w:bookmarkStart w:colFirst="0" w:colLast="0" w:name="_heading=h.rk84susa12n6" w:id="5"/>
      <w:bookmarkEnd w:id="5"/>
      <w:r w:rsidDel="00000000" w:rsidR="00000000" w:rsidRPr="00000000">
        <w:rPr>
          <w:rFonts w:ascii="Arial Black" w:cs="Arial Black" w:eastAsia="Arial Black" w:hAnsi="Arial Black"/>
          <w:b w:val="1"/>
          <w:color w:val="7f6000"/>
          <w:rtl w:val="0"/>
        </w:rPr>
        <w:t xml:space="preserve">Personal Data Breaches</w:t>
      </w:r>
    </w:p>
    <w:p w:rsidR="00000000" w:rsidDel="00000000" w:rsidP="00000000" w:rsidRDefault="00000000" w:rsidRPr="00000000" w14:paraId="000000A9">
      <w:pPr>
        <w:spacing w:after="0" w:line="250" w:lineRule="auto"/>
        <w:ind w:left="426"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A">
      <w:pPr>
        <w:numPr>
          <w:ilvl w:val="1"/>
          <w:numId w:val="5"/>
        </w:numPr>
        <w:spacing w:after="0" w:line="250" w:lineRule="auto"/>
        <w:ind w:left="426" w:hanging="432"/>
        <w:jc w:val="both"/>
        <w:rPr>
          <w:rFonts w:ascii="Arial" w:cs="Arial" w:eastAsia="Arial" w:hAnsi="Arial"/>
        </w:rPr>
      </w:pPr>
      <w:r w:rsidDel="00000000" w:rsidR="00000000" w:rsidRPr="00000000">
        <w:rPr>
          <w:rFonts w:ascii="Arial" w:cs="Arial" w:eastAsia="Arial" w:hAnsi="Arial"/>
          <w:rtl w:val="0"/>
        </w:rPr>
        <w:t xml:space="preserve">The legislation introduces a duty to all organisations to report certain types of personal data breach to the relevant supervisory authority, within 72 hours of becoming aware of the breach, where feasible. </w:t>
      </w:r>
    </w:p>
    <w:p w:rsidR="00000000" w:rsidDel="00000000" w:rsidP="00000000" w:rsidRDefault="00000000" w:rsidRPr="00000000" w14:paraId="000000AB">
      <w:pPr>
        <w:spacing w:after="0" w:line="360" w:lineRule="auto"/>
        <w:rPr>
          <w:rFonts w:ascii="Arial" w:cs="Arial" w:eastAsia="Arial" w:hAnsi="Arial"/>
          <w:b w:val="1"/>
          <w:color w:val="274e13"/>
          <w:sz w:val="28"/>
          <w:szCs w:val="28"/>
        </w:rPr>
      </w:pPr>
      <w:r w:rsidDel="00000000" w:rsidR="00000000" w:rsidRPr="00000000">
        <w:rPr>
          <w:rtl w:val="0"/>
        </w:rPr>
      </w:r>
    </w:p>
    <w:p w:rsidR="00000000" w:rsidDel="00000000" w:rsidP="00000000" w:rsidRDefault="00000000" w:rsidRPr="00000000" w14:paraId="000000AC">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AD">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Data Protection Policy</w:t>
      </w:r>
    </w:p>
    <w:p w:rsidR="00000000" w:rsidDel="00000000" w:rsidP="00000000" w:rsidRDefault="00000000" w:rsidRPr="00000000" w14:paraId="000000AE">
      <w:pPr>
        <w:spacing w:after="0" w:line="240"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spacing w:after="0" w:line="25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0">
      <w:pPr>
        <w:spacing w:after="0" w:line="250" w:lineRule="auto"/>
        <w:ind w:left="79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1">
      <w:pPr>
        <w:numPr>
          <w:ilvl w:val="1"/>
          <w:numId w:val="5"/>
        </w:numPr>
        <w:spacing w:after="0" w:line="250" w:lineRule="auto"/>
        <w:ind w:left="426" w:hanging="432"/>
        <w:jc w:val="both"/>
        <w:rPr>
          <w:rFonts w:ascii="Arial" w:cs="Arial" w:eastAsia="Arial" w:hAnsi="Arial"/>
        </w:rPr>
      </w:pPr>
      <w:r w:rsidDel="00000000" w:rsidR="00000000" w:rsidRPr="00000000">
        <w:rPr>
          <w:rFonts w:ascii="Arial" w:cs="Arial" w:eastAsia="Arial" w:hAnsi="Arial"/>
          <w:rtl w:val="0"/>
        </w:rPr>
        <w:t xml:space="preserve">In the case of a breach where it is likely to result in a high risk of adversely affecting individuals’ rights and freedoms,</w:t>
      </w:r>
      <w:r w:rsidDel="00000000" w:rsidR="00000000" w:rsidRPr="00000000">
        <w:rPr>
          <w:rFonts w:ascii="Arial" w:cs="Arial" w:eastAsia="Arial" w:hAnsi="Arial"/>
          <w:b w:val="1"/>
          <w:rtl w:val="0"/>
        </w:rPr>
        <w:t xml:space="preserve"> Notting Hill College</w:t>
      </w:r>
      <w:r w:rsidDel="00000000" w:rsidR="00000000" w:rsidRPr="00000000">
        <w:rPr>
          <w:rFonts w:ascii="Arial" w:cs="Arial" w:eastAsia="Arial" w:hAnsi="Arial"/>
          <w:b w:val="1"/>
          <w:color w:val="0070c0"/>
          <w:rtl w:val="0"/>
        </w:rPr>
        <w:t xml:space="preserve"> </w:t>
      </w:r>
      <w:r w:rsidDel="00000000" w:rsidR="00000000" w:rsidRPr="00000000">
        <w:rPr>
          <w:rFonts w:ascii="Arial" w:cs="Arial" w:eastAsia="Arial" w:hAnsi="Arial"/>
          <w:rtl w:val="0"/>
        </w:rPr>
        <w:t xml:space="preserve">will inform those individuals without undue delay. </w:t>
      </w:r>
    </w:p>
    <w:p w:rsidR="00000000" w:rsidDel="00000000" w:rsidP="00000000" w:rsidRDefault="00000000" w:rsidRPr="00000000" w14:paraId="000000B2">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3">
      <w:pPr>
        <w:numPr>
          <w:ilvl w:val="1"/>
          <w:numId w:val="5"/>
        </w:numPr>
        <w:spacing w:after="0" w:line="250" w:lineRule="auto"/>
        <w:ind w:left="426" w:hanging="432"/>
        <w:jc w:val="both"/>
        <w:rPr>
          <w:rFonts w:ascii="Arial" w:cs="Arial" w:eastAsia="Arial" w:hAnsi="Arial"/>
        </w:rPr>
      </w:pPr>
      <w:r w:rsidDel="00000000" w:rsidR="00000000" w:rsidRPr="00000000">
        <w:rPr>
          <w:rFonts w:ascii="Arial" w:cs="Arial" w:eastAsia="Arial" w:hAnsi="Arial"/>
          <w:rtl w:val="0"/>
        </w:rPr>
        <w:t xml:space="preserve">A record of any personal data breaches will be maintained detailing the facts relating to the breach, its effects and the remedial action taken. </w:t>
      </w:r>
    </w:p>
    <w:p w:rsidR="00000000" w:rsidDel="00000000" w:rsidP="00000000" w:rsidRDefault="00000000" w:rsidRPr="00000000" w14:paraId="000000B4">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5">
      <w:pPr>
        <w:numPr>
          <w:ilvl w:val="1"/>
          <w:numId w:val="5"/>
        </w:numPr>
        <w:spacing w:after="0" w:line="250" w:lineRule="auto"/>
        <w:ind w:left="426" w:hanging="432"/>
        <w:jc w:val="both"/>
        <w:rPr>
          <w:rFonts w:ascii="Arial" w:cs="Arial" w:eastAsia="Arial" w:hAnsi="Arial"/>
        </w:rPr>
      </w:pPr>
      <w:r w:rsidDel="00000000" w:rsidR="00000000" w:rsidRPr="00000000">
        <w:rPr>
          <w:rFonts w:ascii="Arial" w:cs="Arial" w:eastAsia="Arial" w:hAnsi="Arial"/>
          <w:rtl w:val="0"/>
        </w:rPr>
        <w:t xml:space="preserve">Personal data breaches can include: </w:t>
      </w:r>
    </w:p>
    <w:p w:rsidR="00000000" w:rsidDel="00000000" w:rsidP="00000000" w:rsidRDefault="00000000" w:rsidRPr="00000000" w14:paraId="000000B6">
      <w:pPr>
        <w:spacing w:after="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7">
      <w:pPr>
        <w:numPr>
          <w:ilvl w:val="0"/>
          <w:numId w:val="7"/>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Access by an unauthorised third party</w:t>
      </w:r>
    </w:p>
    <w:p w:rsidR="00000000" w:rsidDel="00000000" w:rsidP="00000000" w:rsidRDefault="00000000" w:rsidRPr="00000000" w14:paraId="000000B8">
      <w:pPr>
        <w:numPr>
          <w:ilvl w:val="0"/>
          <w:numId w:val="7"/>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Deliberate or accidental action (or inaction) by a controller or processor </w:t>
      </w:r>
    </w:p>
    <w:p w:rsidR="00000000" w:rsidDel="00000000" w:rsidP="00000000" w:rsidRDefault="00000000" w:rsidRPr="00000000" w14:paraId="000000B9">
      <w:pPr>
        <w:numPr>
          <w:ilvl w:val="0"/>
          <w:numId w:val="7"/>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Sending personal data to an incorrect recipient d) computing devices containing personal data being lost or stolen.</w:t>
      </w:r>
    </w:p>
    <w:p w:rsidR="00000000" w:rsidDel="00000000" w:rsidP="00000000" w:rsidRDefault="00000000" w:rsidRPr="00000000" w14:paraId="000000BA">
      <w:pPr>
        <w:numPr>
          <w:ilvl w:val="0"/>
          <w:numId w:val="7"/>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Alteration of personal data without permission, and </w:t>
      </w:r>
    </w:p>
    <w:p w:rsidR="00000000" w:rsidDel="00000000" w:rsidP="00000000" w:rsidRDefault="00000000" w:rsidRPr="00000000" w14:paraId="000000BB">
      <w:pPr>
        <w:numPr>
          <w:ilvl w:val="0"/>
          <w:numId w:val="7"/>
        </w:numPr>
        <w:spacing w:after="2" w:before="2" w:line="240" w:lineRule="auto"/>
        <w:ind w:left="1276" w:hanging="360"/>
        <w:jc w:val="both"/>
        <w:rPr>
          <w:rFonts w:ascii="Arial" w:cs="Arial" w:eastAsia="Arial" w:hAnsi="Arial"/>
        </w:rPr>
      </w:pPr>
      <w:r w:rsidDel="00000000" w:rsidR="00000000" w:rsidRPr="00000000">
        <w:rPr>
          <w:rFonts w:ascii="Arial" w:cs="Arial" w:eastAsia="Arial" w:hAnsi="Arial"/>
          <w:rtl w:val="0"/>
        </w:rPr>
        <w:t xml:space="preserve">Loss of availability of personal data. </w:t>
      </w:r>
    </w:p>
    <w:p w:rsidR="00000000" w:rsidDel="00000000" w:rsidP="00000000" w:rsidRDefault="00000000" w:rsidRPr="00000000" w14:paraId="000000BC">
      <w:pPr>
        <w:spacing w:after="0" w:before="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D">
      <w:pPr>
        <w:numPr>
          <w:ilvl w:val="1"/>
          <w:numId w:val="5"/>
        </w:numPr>
        <w:spacing w:after="0" w:line="250" w:lineRule="auto"/>
        <w:ind w:left="426" w:hanging="432"/>
        <w:jc w:val="both"/>
        <w:rPr>
          <w:rFonts w:ascii="Arial" w:cs="Arial" w:eastAsia="Arial" w:hAnsi="Arial"/>
        </w:rPr>
      </w:pPr>
      <w:r w:rsidDel="00000000" w:rsidR="00000000" w:rsidRPr="00000000">
        <w:rPr>
          <w:rFonts w:ascii="Arial" w:cs="Arial" w:eastAsia="Arial" w:hAnsi="Arial"/>
          <w:rtl w:val="0"/>
        </w:rPr>
        <w:t xml:space="preserve">A personal data breach can be broadly defined as a security incident that has affected the confidentiality, integrity or availability of personal data. In short, there will be a personal data breach whenever any personal data is lost, destroyed, corrupted or disclosed if someone accesses the data or passes it on without proper authorisation.</w:t>
      </w:r>
    </w:p>
    <w:p w:rsidR="00000000" w:rsidDel="00000000" w:rsidP="00000000" w:rsidRDefault="00000000" w:rsidRPr="00000000" w14:paraId="000000B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0">
      <w:pPr>
        <w:numPr>
          <w:ilvl w:val="0"/>
          <w:numId w:val="8"/>
        </w:numPr>
        <w:spacing w:after="0" w:lineRule="auto"/>
        <w:ind w:left="357" w:hanging="360"/>
        <w:rPr>
          <w:rFonts w:ascii="Arial Black" w:cs="Arial Black" w:eastAsia="Arial Black" w:hAnsi="Arial Black"/>
          <w:b w:val="1"/>
          <w:color w:val="7f6000"/>
        </w:rPr>
      </w:pPr>
      <w:bookmarkStart w:colFirst="0" w:colLast="0" w:name="_heading=h.h3bflpftm7o6" w:id="6"/>
      <w:bookmarkEnd w:id="6"/>
      <w:r w:rsidDel="00000000" w:rsidR="00000000" w:rsidRPr="00000000">
        <w:rPr>
          <w:rFonts w:ascii="Arial Black" w:cs="Arial Black" w:eastAsia="Arial Black" w:hAnsi="Arial Black"/>
          <w:b w:val="1"/>
          <w:color w:val="7f6000"/>
          <w:rtl w:val="0"/>
        </w:rPr>
        <w:t xml:space="preserve">The Centre’s Commitment to Data Protection</w:t>
      </w:r>
    </w:p>
    <w:p w:rsidR="00000000" w:rsidDel="00000000" w:rsidP="00000000" w:rsidRDefault="00000000" w:rsidRPr="00000000" w14:paraId="000000C1">
      <w:pPr>
        <w:spacing w:after="0" w:lineRule="auto"/>
        <w:ind w:left="357" w:firstLine="0"/>
        <w:rPr>
          <w:rFonts w:ascii="Arial Black" w:cs="Arial Black" w:eastAsia="Arial Black" w:hAnsi="Arial Black"/>
          <w:b w:val="1"/>
          <w:color w:val="002b51"/>
          <w:sz w:val="16"/>
          <w:szCs w:val="16"/>
        </w:rPr>
      </w:pPr>
      <w:r w:rsidDel="00000000" w:rsidR="00000000" w:rsidRPr="00000000">
        <w:rPr>
          <w:rtl w:val="0"/>
        </w:rPr>
      </w:r>
    </w:p>
    <w:p w:rsidR="00000000" w:rsidDel="00000000" w:rsidP="00000000" w:rsidRDefault="00000000" w:rsidRPr="00000000" w14:paraId="000000C2">
      <w:pPr>
        <w:numPr>
          <w:ilvl w:val="1"/>
          <w:numId w:val="8"/>
        </w:numPr>
        <w:spacing w:after="0" w:line="250" w:lineRule="auto"/>
        <w:ind w:left="540" w:hanging="432"/>
        <w:jc w:val="both"/>
        <w:rPr>
          <w:rFonts w:ascii="Arial" w:cs="Arial" w:eastAsia="Arial" w:hAnsi="Arial"/>
        </w:rPr>
      </w:pPr>
      <w:r w:rsidDel="00000000" w:rsidR="00000000" w:rsidRPr="00000000">
        <w:rPr>
          <w:rFonts w:ascii="Arial" w:cs="Arial" w:eastAsia="Arial" w:hAnsi="Arial"/>
          <w:rtl w:val="0"/>
        </w:rPr>
        <w:t xml:space="preserve">The Centre will ensure that: </w:t>
      </w:r>
    </w:p>
    <w:p w:rsidR="00000000" w:rsidDel="00000000" w:rsidP="00000000" w:rsidRDefault="00000000" w:rsidRPr="00000000" w14:paraId="000000C3">
      <w:pPr>
        <w:spacing w:after="0" w:line="25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4">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Everyone managing and handling personal information understands that they are responsible for following good data protection practices.</w:t>
      </w:r>
      <w:r w:rsidDel="00000000" w:rsidR="00000000" w:rsidRPr="00000000">
        <w:rPr>
          <w:rtl w:val="0"/>
        </w:rPr>
      </w:r>
    </w:p>
    <w:p w:rsidR="00000000" w:rsidDel="00000000" w:rsidP="00000000" w:rsidRDefault="00000000" w:rsidRPr="00000000" w14:paraId="000000C5">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There is someone with specific responsibility for data protection in the organisation.</w:t>
      </w:r>
      <w:r w:rsidDel="00000000" w:rsidR="00000000" w:rsidRPr="00000000">
        <w:rPr>
          <w:rtl w:val="0"/>
        </w:rPr>
      </w:r>
    </w:p>
    <w:p w:rsidR="00000000" w:rsidDel="00000000" w:rsidP="00000000" w:rsidRDefault="00000000" w:rsidRPr="00000000" w14:paraId="000000C6">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Staff who manage personal information are appropriately supervised and trained.</w:t>
      </w:r>
      <w:r w:rsidDel="00000000" w:rsidR="00000000" w:rsidRPr="00000000">
        <w:rPr>
          <w:rtl w:val="0"/>
        </w:rPr>
      </w:r>
    </w:p>
    <w:p w:rsidR="00000000" w:rsidDel="00000000" w:rsidP="00000000" w:rsidRDefault="00000000" w:rsidRPr="00000000" w14:paraId="000000C7">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Queries about handling personal information are promptly and courteously dealt with, and individuals know how to access their own personal information.</w:t>
      </w:r>
      <w:r w:rsidDel="00000000" w:rsidR="00000000" w:rsidRPr="00000000">
        <w:rPr>
          <w:rtl w:val="0"/>
        </w:rPr>
      </w:r>
    </w:p>
    <w:p w:rsidR="00000000" w:rsidDel="00000000" w:rsidP="00000000" w:rsidRDefault="00000000" w:rsidRPr="00000000" w14:paraId="000000C8">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Methods of handling personal information are regularly assessed and evaluated. </w:t>
      </w:r>
      <w:r w:rsidDel="00000000" w:rsidR="00000000" w:rsidRPr="00000000">
        <w:rPr>
          <w:rtl w:val="0"/>
        </w:rPr>
      </w:r>
    </w:p>
    <w:p w:rsidR="00000000" w:rsidDel="00000000" w:rsidP="00000000" w:rsidRDefault="00000000" w:rsidRPr="00000000" w14:paraId="000000C9">
      <w:pPr>
        <w:spacing w:after="2" w:before="2" w:line="240" w:lineRule="auto"/>
        <w:ind w:left="206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spacing w:after="2" w:before="2" w:line="240" w:lineRule="auto"/>
        <w:ind w:left="206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B">
      <w:pPr>
        <w:spacing w:after="0" w:line="360" w:lineRule="auto"/>
        <w:rPr>
          <w:rFonts w:ascii="Arial" w:cs="Arial" w:eastAsia="Arial" w:hAnsi="Arial"/>
          <w:b w:val="1"/>
          <w:color w:val="274e13"/>
          <w:sz w:val="28"/>
          <w:szCs w:val="28"/>
        </w:rPr>
      </w:pPr>
      <w:r w:rsidDel="00000000" w:rsidR="00000000" w:rsidRPr="00000000">
        <w:rPr>
          <w:rFonts w:ascii="Arial" w:cs="Arial" w:eastAsia="Arial" w:hAnsi="Arial"/>
          <w:b w:val="1"/>
          <w:color w:val="274e13"/>
          <w:sz w:val="28"/>
          <w:szCs w:val="28"/>
          <w:rtl w:val="0"/>
        </w:rPr>
        <w:t xml:space="preserve">Notting Hill College</w:t>
      </w:r>
    </w:p>
    <w:p w:rsidR="00000000" w:rsidDel="00000000" w:rsidP="00000000" w:rsidRDefault="00000000" w:rsidRPr="00000000" w14:paraId="000000CC">
      <w:pPr>
        <w:spacing w:after="0" w:line="240" w:lineRule="auto"/>
        <w:rPr>
          <w:rFonts w:ascii="Arial" w:cs="Arial" w:eastAsia="Arial" w:hAnsi="Arial"/>
          <w:b w:val="1"/>
          <w:color w:val="7f6000"/>
          <w:sz w:val="28"/>
          <w:szCs w:val="28"/>
        </w:rPr>
      </w:pPr>
      <w:r w:rsidDel="00000000" w:rsidR="00000000" w:rsidRPr="00000000">
        <w:rPr>
          <w:rFonts w:ascii="Arial" w:cs="Arial" w:eastAsia="Arial" w:hAnsi="Arial"/>
          <w:b w:val="1"/>
          <w:color w:val="7f6000"/>
          <w:sz w:val="28"/>
          <w:szCs w:val="28"/>
          <w:rtl w:val="0"/>
        </w:rPr>
        <w:t xml:space="preserve">Data Protection Policy</w:t>
      </w:r>
    </w:p>
    <w:p w:rsidR="00000000" w:rsidDel="00000000" w:rsidP="00000000" w:rsidRDefault="00000000" w:rsidRPr="00000000" w14:paraId="000000CD">
      <w:pPr>
        <w:spacing w:after="0" w:line="240" w:lineRule="auto"/>
        <w:rPr>
          <w:rFonts w:ascii="Arial" w:cs="Arial" w:eastAsia="Arial" w:hAnsi="Arial"/>
          <w:b w:val="1"/>
          <w:color w:val="7f6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spacing w:after="2" w:before="2" w:line="240" w:lineRule="auto"/>
        <w:ind w:left="206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F">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Any disclosure of personal data will be in compliance with approved procedures.</w:t>
      </w:r>
      <w:r w:rsidDel="00000000" w:rsidR="00000000" w:rsidRPr="00000000">
        <w:rPr>
          <w:rtl w:val="0"/>
        </w:rPr>
      </w:r>
    </w:p>
    <w:p w:rsidR="00000000" w:rsidDel="00000000" w:rsidP="00000000" w:rsidRDefault="00000000" w:rsidRPr="00000000" w14:paraId="000000D0">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All necessary steps are taken to ensure that personal data is kept secure.</w:t>
      </w:r>
      <w:r w:rsidDel="00000000" w:rsidR="00000000" w:rsidRPr="00000000">
        <w:rPr>
          <w:rtl w:val="0"/>
        </w:rPr>
      </w:r>
    </w:p>
    <w:p w:rsidR="00000000" w:rsidDel="00000000" w:rsidP="00000000" w:rsidRDefault="00000000" w:rsidRPr="00000000" w14:paraId="000000D1">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All software updates have been installed on all Servers and Computers and a regular schedule of maintenance is conducted.</w:t>
      </w:r>
      <w:r w:rsidDel="00000000" w:rsidR="00000000" w:rsidRPr="00000000">
        <w:rPr>
          <w:rtl w:val="0"/>
        </w:rPr>
      </w:r>
    </w:p>
    <w:p w:rsidR="00000000" w:rsidDel="00000000" w:rsidP="00000000" w:rsidRDefault="00000000" w:rsidRPr="00000000" w14:paraId="000000D2">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Where necessary and required by regulation, such as data provided by the Education and Skills Funding Agency, access to this data will be restricted by folder to those approved access by the Third Party.</w:t>
      </w:r>
      <w:r w:rsidDel="00000000" w:rsidR="00000000" w:rsidRPr="00000000">
        <w:rPr>
          <w:rtl w:val="0"/>
        </w:rPr>
      </w:r>
    </w:p>
    <w:p w:rsidR="00000000" w:rsidDel="00000000" w:rsidP="00000000" w:rsidRDefault="00000000" w:rsidRPr="00000000" w14:paraId="000000D3">
      <w:pPr>
        <w:numPr>
          <w:ilvl w:val="0"/>
          <w:numId w:val="6"/>
        </w:numPr>
        <w:spacing w:after="2" w:before="2" w:line="240" w:lineRule="auto"/>
        <w:ind w:left="1418" w:hanging="360"/>
        <w:jc w:val="both"/>
        <w:rPr>
          <w:rFonts w:ascii="Arial" w:cs="Arial" w:eastAsia="Arial" w:hAnsi="Arial"/>
          <w:sz w:val="24"/>
          <w:szCs w:val="24"/>
        </w:rPr>
      </w:pPr>
      <w:r w:rsidDel="00000000" w:rsidR="00000000" w:rsidRPr="00000000">
        <w:rPr>
          <w:rFonts w:ascii="Arial" w:cs="Arial" w:eastAsia="Arial" w:hAnsi="Arial"/>
          <w:rtl w:val="0"/>
        </w:rPr>
        <w:t xml:space="preserve">The Centre complies with all time scales for Data Retention. </w:t>
      </w:r>
      <w:r w:rsidDel="00000000" w:rsidR="00000000" w:rsidRPr="00000000">
        <w:rPr>
          <w:rtl w:val="0"/>
        </w:rPr>
      </w:r>
    </w:p>
    <w:p w:rsidR="00000000" w:rsidDel="00000000" w:rsidP="00000000" w:rsidRDefault="00000000" w:rsidRPr="00000000" w14:paraId="000000D4">
      <w:pPr>
        <w:spacing w:after="2" w:before="2" w:line="240" w:lineRule="auto"/>
        <w:ind w:left="206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Black" w:cs="Arial Black" w:eastAsia="Arial Black" w:hAnsi="Arial Black"/>
          <w:b w:val="1"/>
          <w:color w:val="002b51"/>
        </w:rPr>
      </w:pPr>
      <w:r w:rsidDel="00000000" w:rsidR="00000000" w:rsidRPr="00000000">
        <w:rPr>
          <w:rtl w:val="0"/>
        </w:rPr>
      </w:r>
    </w:p>
    <w:p w:rsidR="00000000" w:rsidDel="00000000" w:rsidP="00000000" w:rsidRDefault="00000000" w:rsidRPr="00000000" w14:paraId="000000D6">
      <w:pPr>
        <w:numPr>
          <w:ilvl w:val="0"/>
          <w:numId w:val="8"/>
        </w:numPr>
        <w:spacing w:after="0" w:lineRule="auto"/>
        <w:ind w:left="357" w:hanging="360"/>
        <w:rPr>
          <w:rFonts w:ascii="Arial Black" w:cs="Arial Black" w:eastAsia="Arial Black" w:hAnsi="Arial Black"/>
          <w:b w:val="1"/>
          <w:color w:val="7f6000"/>
        </w:rPr>
      </w:pPr>
      <w:bookmarkStart w:colFirst="0" w:colLast="0" w:name="_heading=h.xjwswgm7gi74" w:id="7"/>
      <w:bookmarkEnd w:id="7"/>
      <w:r w:rsidDel="00000000" w:rsidR="00000000" w:rsidRPr="00000000">
        <w:rPr>
          <w:rFonts w:ascii="Arial Black" w:cs="Arial Black" w:eastAsia="Arial Black" w:hAnsi="Arial Black"/>
          <w:b w:val="1"/>
          <w:color w:val="7f6000"/>
          <w:rtl w:val="0"/>
        </w:rPr>
        <w:t xml:space="preserve">Version History</w:t>
      </w:r>
    </w:p>
    <w:p w:rsidR="00000000" w:rsidDel="00000000" w:rsidP="00000000" w:rsidRDefault="00000000" w:rsidRPr="00000000" w14:paraId="000000D7">
      <w:pPr>
        <w:spacing w:after="0" w:line="250" w:lineRule="auto"/>
        <w:ind w:left="432" w:firstLine="0"/>
        <w:rPr>
          <w:rFonts w:ascii="Arial" w:cs="Arial" w:eastAsia="Arial" w:hAnsi="Arial"/>
        </w:rPr>
      </w:pPr>
      <w:r w:rsidDel="00000000" w:rsidR="00000000" w:rsidRPr="00000000">
        <w:rPr>
          <w:rtl w:val="0"/>
        </w:rPr>
      </w:r>
    </w:p>
    <w:tbl>
      <w:tblPr>
        <w:tblStyle w:val="Table3"/>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800"/>
        <w:gridCol w:w="5085"/>
        <w:gridCol w:w="1725"/>
        <w:tblGridChange w:id="0">
          <w:tblGrid>
            <w:gridCol w:w="1305"/>
            <w:gridCol w:w="1800"/>
            <w:gridCol w:w="5085"/>
            <w:gridCol w:w="1725"/>
          </w:tblGrid>
        </w:tblGridChange>
      </w:tblGrid>
      <w:tr>
        <w:trPr>
          <w:cantSplit w:val="0"/>
          <w:trHeight w:val="374" w:hRule="atLeast"/>
          <w:tblHeader w:val="0"/>
        </w:trPr>
        <w:tc>
          <w:tcPr>
            <w:shd w:fill="ede2be" w:val="clear"/>
            <w:vAlign w:val="center"/>
          </w:tcPr>
          <w:p w:rsidR="00000000" w:rsidDel="00000000" w:rsidP="00000000" w:rsidRDefault="00000000" w:rsidRPr="00000000" w14:paraId="000000D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Version</w:t>
            </w:r>
          </w:p>
        </w:tc>
        <w:tc>
          <w:tcPr>
            <w:shd w:fill="ede2be" w:val="clear"/>
            <w:vAlign w:val="center"/>
          </w:tcPr>
          <w:p w:rsidR="00000000" w:rsidDel="00000000" w:rsidP="00000000" w:rsidRDefault="00000000" w:rsidRPr="00000000" w14:paraId="000000D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Published</w:t>
            </w:r>
          </w:p>
        </w:tc>
        <w:tc>
          <w:tcPr>
            <w:shd w:fill="ede2be" w:val="clear"/>
            <w:vAlign w:val="center"/>
          </w:tcPr>
          <w:p w:rsidR="00000000" w:rsidDel="00000000" w:rsidP="00000000" w:rsidRDefault="00000000" w:rsidRPr="00000000" w14:paraId="000000D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Changes Made</w:t>
            </w:r>
          </w:p>
        </w:tc>
        <w:tc>
          <w:tcPr>
            <w:shd w:fill="ede2be" w:val="clear"/>
            <w:vAlign w:val="center"/>
          </w:tcPr>
          <w:p w:rsidR="00000000" w:rsidDel="00000000" w:rsidP="00000000" w:rsidRDefault="00000000" w:rsidRPr="00000000" w14:paraId="000000D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off by</w:t>
            </w:r>
          </w:p>
        </w:tc>
      </w:tr>
      <w:tr>
        <w:trPr>
          <w:cantSplit w:val="0"/>
          <w:trHeight w:val="454" w:hRule="atLeast"/>
          <w:tblHeader w:val="0"/>
        </w:trPr>
        <w:tc>
          <w:tcPr>
            <w:vAlign w:val="center"/>
          </w:tcPr>
          <w:p w:rsidR="00000000" w:rsidDel="00000000" w:rsidP="00000000" w:rsidRDefault="00000000" w:rsidRPr="00000000" w14:paraId="000000DC">
            <w:pPr>
              <w:spacing w:before="120" w:lineRule="auto"/>
              <w:rPr>
                <w:rFonts w:ascii="Arial" w:cs="Arial" w:eastAsia="Arial" w:hAnsi="Arial"/>
              </w:rPr>
            </w:pPr>
            <w:r w:rsidDel="00000000" w:rsidR="00000000" w:rsidRPr="00000000">
              <w:rPr>
                <w:rFonts w:ascii="Arial" w:cs="Arial" w:eastAsia="Arial" w:hAnsi="Arial"/>
                <w:rtl w:val="0"/>
              </w:rPr>
              <w:t xml:space="preserve">DPPV2025</w:t>
            </w:r>
          </w:p>
        </w:tc>
        <w:tc>
          <w:tcPr>
            <w:vAlign w:val="center"/>
          </w:tcPr>
          <w:p w:rsidR="00000000" w:rsidDel="00000000" w:rsidP="00000000" w:rsidRDefault="00000000" w:rsidRPr="00000000" w14:paraId="000000DD">
            <w:pPr>
              <w:spacing w:before="120" w:lineRule="auto"/>
              <w:rPr>
                <w:rFonts w:ascii="Arial" w:cs="Arial" w:eastAsia="Arial" w:hAnsi="Arial"/>
              </w:rPr>
            </w:pPr>
            <w:r w:rsidDel="00000000" w:rsidR="00000000" w:rsidRPr="00000000">
              <w:rPr>
                <w:rFonts w:ascii="Arial" w:cs="Arial" w:eastAsia="Arial" w:hAnsi="Arial"/>
                <w:rtl w:val="0"/>
              </w:rPr>
              <w:t xml:space="preserve">14 May 2025</w:t>
            </w:r>
          </w:p>
        </w:tc>
        <w:tc>
          <w:tcPr>
            <w:vAlign w:val="center"/>
          </w:tcPr>
          <w:p w:rsidR="00000000" w:rsidDel="00000000" w:rsidP="00000000" w:rsidRDefault="00000000" w:rsidRPr="00000000" w14:paraId="000000DE">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Iryna Hurkova</w:t>
            </w:r>
          </w:p>
        </w:tc>
      </w:tr>
      <w:tr>
        <w:trPr>
          <w:cantSplit w:val="0"/>
          <w:trHeight w:val="454" w:hRule="atLeast"/>
          <w:tblHeader w:val="0"/>
        </w:trPr>
        <w:tc>
          <w:tcPr>
            <w:vAlign w:val="center"/>
          </w:tcPr>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6">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7">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E8">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9">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0">
      <w:pPr>
        <w:spacing w:after="0" w:before="120" w:line="250" w:lineRule="auto"/>
        <w:rPr>
          <w:rFonts w:ascii="Arial" w:cs="Arial" w:eastAsia="Arial" w:hAnsi="Arial"/>
          <w:color w:val="002b51"/>
        </w:rPr>
      </w:pPr>
      <w:r w:rsidDel="00000000" w:rsidR="00000000" w:rsidRPr="00000000">
        <w:rPr>
          <w:rtl w:val="0"/>
        </w:rPr>
      </w:r>
    </w:p>
    <w:p w:rsidR="00000000" w:rsidDel="00000000" w:rsidP="00000000" w:rsidRDefault="00000000" w:rsidRPr="00000000" w14:paraId="000000F1">
      <w:pPr>
        <w:spacing w:after="120" w:before="120" w:lineRule="auto"/>
        <w:rPr/>
      </w:pPr>
      <w:r w:rsidDel="00000000" w:rsidR="00000000" w:rsidRPr="00000000">
        <w:rPr>
          <w:rtl w:val="0"/>
        </w:rPr>
      </w:r>
    </w:p>
    <w:p w:rsidR="00000000" w:rsidDel="00000000" w:rsidP="00000000" w:rsidRDefault="00000000" w:rsidRPr="00000000" w14:paraId="000000F2">
      <w:pPr>
        <w:spacing w:after="240" w:before="240" w:line="276"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F3">
      <w:pPr>
        <w:spacing w:after="240" w:before="240" w:line="276"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F4">
      <w:pPr>
        <w:spacing w:after="240" w:before="240" w:line="276" w:lineRule="auto"/>
        <w:jc w:val="center"/>
        <w:rPr>
          <w:rFonts w:ascii="Arial" w:cs="Arial" w:eastAsia="Arial" w:hAnsi="Arial"/>
          <w:b w:val="1"/>
          <w:sz w:val="34"/>
          <w:szCs w:val="34"/>
        </w:rPr>
      </w:pPr>
      <w:r w:rsidDel="00000000" w:rsidR="00000000" w:rsidRPr="00000000">
        <w:rPr>
          <w:rtl w:val="0"/>
        </w:rPr>
      </w:r>
    </w:p>
    <w:sectPr>
      <w:headerReference r:id="rId7" w:type="default"/>
      <w:headerReference r:id="rId8" w:type="first"/>
      <w:footerReference r:id="rId9" w:type="default"/>
      <w:pgSz w:h="16838" w:w="11906" w:orient="portrait"/>
      <w:pgMar w:bottom="2551.181102362205" w:top="2551.181102362205"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tabs>
        <w:tab w:val="center" w:leader="none" w:pos="4513"/>
        <w:tab w:val="right" w:leader="none" w:pos="9026"/>
      </w:tabs>
      <w:spacing w:after="0" w:lin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9372600</wp:posOffset>
              </wp:positionV>
              <wp:extent cx="3677285" cy="300355"/>
              <wp:effectExtent b="0" l="0" r="0" t="0"/>
              <wp:wrapNone/>
              <wp:docPr id="54" name=""/>
              <a:graphic>
                <a:graphicData uri="http://schemas.microsoft.com/office/word/2010/wordprocessingShape">
                  <wps:wsp>
                    <wps:cNvSpPr/>
                    <wps:cNvPr id="2" name="Shape 2"/>
                    <wps:spPr>
                      <a:xfrm>
                        <a:off x="3540695" y="3663160"/>
                        <a:ext cx="3610610" cy="233680"/>
                      </a:xfrm>
                      <a:prstGeom prst="rect">
                        <a:avLst/>
                      </a:prstGeom>
                      <a:solidFill>
                        <a:schemeClr val="lt1"/>
                      </a:solid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e40038"/>
                              <w:sz w:val="14"/>
                              <w:vertAlign w:val="baseline"/>
                            </w:rPr>
                            <w:t xml:space="preserve"> PAGE   \* MERGEFORMAT 2 | ©Peninsula Business Services Limited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9372600</wp:posOffset>
              </wp:positionV>
              <wp:extent cx="3677285" cy="300355"/>
              <wp:effectExtent b="0" l="0" r="0" t="0"/>
              <wp:wrapNone/>
              <wp:docPr id="5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77285" cy="30035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-775487</wp:posOffset>
          </wp:positionV>
          <wp:extent cx="7562850" cy="1480338"/>
          <wp:effectExtent b="0" l="0" r="0" t="0"/>
          <wp:wrapNone/>
          <wp:docPr descr="Footer-02" id="56" name="image1.png"/>
          <a:graphic>
            <a:graphicData uri="http://schemas.openxmlformats.org/drawingml/2006/picture">
              <pic:pic>
                <pic:nvPicPr>
                  <pic:cNvPr descr="Footer-02" id="0" name="image1.png"/>
                  <pic:cNvPicPr preferRelativeResize="0"/>
                </pic:nvPicPr>
                <pic:blipFill>
                  <a:blip r:embed="rId2"/>
                  <a:srcRect b="0" l="0" r="0" t="8578"/>
                  <a:stretch>
                    <a:fillRect/>
                  </a:stretch>
                </pic:blipFill>
                <pic:spPr>
                  <a:xfrm>
                    <a:off x="0" y="0"/>
                    <a:ext cx="7562850" cy="14803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rPr/>
    </w:pPr>
    <w:r w:rsidDel="00000000" w:rsidR="00000000" w:rsidRPr="00000000">
      <w:rPr/>
      <w:drawing>
        <wp:anchor allowOverlap="1" behindDoc="1" distB="0" distT="0" distL="0" distR="0" hidden="0" layoutInCell="1" locked="0" relativeHeight="0" simplePos="0">
          <wp:simplePos x="0" y="0"/>
          <wp:positionH relativeFrom="page">
            <wp:posOffset>190500</wp:posOffset>
          </wp:positionH>
          <wp:positionV relativeFrom="page">
            <wp:posOffset>-369562</wp:posOffset>
          </wp:positionV>
          <wp:extent cx="7560310" cy="1816100"/>
          <wp:effectExtent b="0" l="0" r="0" t="0"/>
          <wp:wrapNone/>
          <wp:docPr id="5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310" cy="1816100"/>
                  </a:xfrm>
                  <a:prstGeom prst="rect"/>
                  <a:ln/>
                </pic:spPr>
              </pic:pic>
            </a:graphicData>
          </a:graphic>
        </wp:anchor>
      </w:drawing>
    </w:r>
    <w:r w:rsidDel="00000000" w:rsidR="00000000" w:rsidRPr="00000000">
      <w:rPr>
        <w:rtl w:val="0"/>
      </w:rPr>
    </w:r>
  </w:p>
  <w:p w:rsidR="00000000" w:rsidDel="00000000" w:rsidP="00000000" w:rsidRDefault="00000000" w:rsidRPr="00000000" w14:paraId="000000F6">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2">
    <w:lvl w:ilvl="0">
      <w:start w:val="2"/>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3">
    <w:lvl w:ilvl="0">
      <w:start w:val="1"/>
      <w:numFmt w:val="lowerLetter"/>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18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18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180"/>
      </w:pPr>
      <w:rPr>
        <w:u w:val="none"/>
      </w:rPr>
    </w:lvl>
  </w:abstractNum>
  <w:abstractNum w:abstractNumId="4">
    <w:lvl w:ilvl="0">
      <w:start w:val="1"/>
      <w:numFmt w:val="lowerLetter"/>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18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18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180"/>
      </w:pPr>
      <w:rPr>
        <w:u w:val="none"/>
      </w:rPr>
    </w:lvl>
  </w:abstractNum>
  <w:abstractNum w:abstractNumId="5">
    <w:lvl w:ilvl="0">
      <w:start w:val="5"/>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6">
    <w:lvl w:ilvl="0">
      <w:start w:val="1"/>
      <w:numFmt w:val="lowerLetter"/>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18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18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180"/>
      </w:pPr>
      <w:rPr>
        <w:u w:val="none"/>
      </w:rPr>
    </w:lvl>
  </w:abstractNum>
  <w:abstractNum w:abstractNumId="7">
    <w:lvl w:ilvl="0">
      <w:start w:val="1"/>
      <w:numFmt w:val="lowerLetter"/>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18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18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180"/>
      </w:pPr>
      <w:rPr>
        <w:u w:val="none"/>
      </w:rPr>
    </w:lvl>
  </w:abstractNum>
  <w:abstractNum w:abstractNumId="8">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9">
    <w:lvl w:ilvl="0">
      <w:start w:val="1"/>
      <w:numFmt w:val="lowerLetter"/>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18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18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180"/>
      </w:pPr>
      <w:rPr>
        <w:u w:val="none"/>
      </w:rPr>
    </w:lvl>
  </w:abstractNum>
  <w:abstractNum w:abstractNumId="10">
    <w:lvl w:ilvl="0">
      <w:start w:val="1"/>
      <w:numFmt w:val="lowerLetter"/>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18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18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180"/>
      </w:pPr>
      <w:rPr>
        <w:u w:val="none"/>
      </w:rPr>
    </w:lvl>
  </w:abstractNum>
  <w:abstractNum w:abstractNumId="11">
    <w:lvl w:ilvl="0">
      <w:start w:val="3"/>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53C9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14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149E"/>
  </w:style>
  <w:style w:type="paragraph" w:styleId="Footer">
    <w:name w:val="footer"/>
    <w:basedOn w:val="Normal"/>
    <w:link w:val="FooterChar"/>
    <w:uiPriority w:val="99"/>
    <w:unhideWhenUsed w:val="1"/>
    <w:rsid w:val="002514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cs="Times New Roman" w:eastAsia="Times New Roman" w:hAnsi="Arial"/>
      <w:color w:val="000000"/>
      <w:sz w:val="20"/>
      <w:szCs w:val="20"/>
      <w:lang w:val="en-US"/>
    </w:rPr>
  </w:style>
  <w:style w:type="character" w:styleId="BodyTextChar" w:customStyle="1">
    <w:name w:val="Body Text Char"/>
    <w:basedOn w:val="DefaultParagraphFont"/>
    <w:link w:val="BodyText"/>
    <w:rsid w:val="006E0345"/>
    <w:rPr>
      <w:rFonts w:ascii="Arial" w:cs="Times New Roman" w:eastAsia="Times New Roman" w:hAnsi="Arial"/>
      <w:color w:val="000000"/>
      <w:sz w:val="20"/>
      <w:szCs w:val="20"/>
      <w:lang w:val="en-US"/>
    </w:rPr>
  </w:style>
  <w:style w:type="numbering" w:styleId="Style1" w:custom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link w:val="DefaultChar"/>
    <w:rsid w:val="00EA0645"/>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BodySingle" w:customStyle="1">
    <w:name w:val="Body Single"/>
    <w:rsid w:val="009F68E0"/>
    <w:pPr>
      <w:widowControl w:val="0"/>
      <w:autoSpaceDE w:val="0"/>
      <w:autoSpaceDN w:val="0"/>
      <w:adjustRightInd w:val="0"/>
      <w:spacing w:after="0" w:line="240" w:lineRule="auto"/>
    </w:pPr>
    <w:rPr>
      <w:rFonts w:ascii="Times New Roman" w:cs="Times New Roman" w:eastAsia="Times New Roman" w:hAnsi="Times New Roman"/>
      <w:color w:val="000000"/>
      <w:sz w:val="20"/>
      <w:szCs w:val="24"/>
      <w:lang w:val="en-US"/>
    </w:rPr>
  </w:style>
  <w:style w:type="paragraph" w:styleId="Bullet1" w:customStyle="1">
    <w:name w:val="Bullet 1"/>
    <w:rsid w:val="009F68E0"/>
    <w:pPr>
      <w:widowControl w:val="0"/>
      <w:autoSpaceDE w:val="0"/>
      <w:autoSpaceDN w:val="0"/>
      <w:adjustRightInd w:val="0"/>
      <w:spacing w:after="0" w:line="240" w:lineRule="auto"/>
      <w:ind w:left="576"/>
    </w:pPr>
    <w:rPr>
      <w:rFonts w:ascii="Times New Roman" w:cs="Times New Roman" w:eastAsia="Times New Roman" w:hAnsi="Times New Roman"/>
      <w:color w:val="000000"/>
      <w:sz w:val="20"/>
      <w:szCs w:val="24"/>
      <w:lang w:val="en-US"/>
    </w:rPr>
  </w:style>
  <w:style w:type="paragraph" w:styleId="ListParagraph">
    <w:name w:val="List Paragraph"/>
    <w:basedOn w:val="Normal"/>
    <w:uiPriority w:val="34"/>
    <w:qFormat w:val="1"/>
    <w:rsid w:val="009F68E0"/>
    <w:pPr>
      <w:spacing w:after="0" w:line="240" w:lineRule="auto"/>
      <w:ind w:left="720"/>
    </w:pPr>
    <w:rPr>
      <w:rFonts w:ascii="Times New Roman" w:cs="Times New Roman" w:eastAsia="Times New Roman" w:hAnsi="Times New Roman"/>
      <w:sz w:val="24"/>
      <w:szCs w:val="24"/>
    </w:rPr>
  </w:style>
  <w:style w:type="paragraph" w:styleId="Heading" w:customStyle="1">
    <w:name w:val="Heading"/>
    <w:basedOn w:val="Normal"/>
    <w:link w:val="HeadingChar"/>
    <w:qFormat w:val="1"/>
    <w:rsid w:val="00DF08E7"/>
    <w:pPr>
      <w:spacing w:after="0" w:line="240" w:lineRule="auto"/>
    </w:pPr>
    <w:rPr>
      <w:rFonts w:ascii="Arial" w:cs="Arial" w:hAnsi="Arial"/>
      <w:b w:val="1"/>
      <w:color w:val="e40038"/>
      <w:sz w:val="56"/>
      <w:szCs w:val="34"/>
    </w:rPr>
  </w:style>
  <w:style w:type="paragraph" w:styleId="SubHeading" w:customStyle="1">
    <w:name w:val="Sub Heading"/>
    <w:basedOn w:val="Normal"/>
    <w:link w:val="SubHeadingChar"/>
    <w:qFormat w:val="1"/>
    <w:rsid w:val="00DF08E7"/>
    <w:pPr>
      <w:spacing w:after="0" w:line="240" w:lineRule="auto"/>
    </w:pPr>
    <w:rPr>
      <w:rFonts w:ascii="Arial" w:cs="Arial" w:hAnsi="Arial"/>
      <w:b w:val="1"/>
      <w:color w:val="253143"/>
      <w:sz w:val="32"/>
    </w:rPr>
  </w:style>
  <w:style w:type="character" w:styleId="HeadingChar" w:customStyle="1">
    <w:name w:val="Heading Char"/>
    <w:basedOn w:val="DefaultParagraphFont"/>
    <w:link w:val="Heading"/>
    <w:rsid w:val="00DF08E7"/>
    <w:rPr>
      <w:rFonts w:ascii="Arial" w:cs="Arial" w:hAnsi="Arial"/>
      <w:b w:val="1"/>
      <w:color w:val="e40038"/>
      <w:sz w:val="56"/>
      <w:szCs w:val="34"/>
    </w:rPr>
  </w:style>
  <w:style w:type="paragraph" w:styleId="BodyBoldBlue" w:customStyle="1">
    <w:name w:val="Body Bold Blue"/>
    <w:basedOn w:val="Default"/>
    <w:link w:val="BodyBoldBlueChar"/>
    <w:qFormat w:val="1"/>
    <w:rsid w:val="00DF08E7"/>
    <w:pPr>
      <w:jc w:val="both"/>
    </w:pPr>
    <w:rPr>
      <w:b w:val="1"/>
      <w:color w:val="253143"/>
      <w:sz w:val="18"/>
      <w:szCs w:val="20"/>
    </w:rPr>
  </w:style>
  <w:style w:type="character" w:styleId="SubHeadingChar" w:customStyle="1">
    <w:name w:val="Sub Heading Char"/>
    <w:basedOn w:val="DefaultParagraphFont"/>
    <w:link w:val="SubHeading"/>
    <w:rsid w:val="00DF08E7"/>
    <w:rPr>
      <w:rFonts w:ascii="Arial" w:cs="Arial" w:hAnsi="Arial"/>
      <w:b w:val="1"/>
      <w:color w:val="253143"/>
      <w:sz w:val="32"/>
    </w:rPr>
  </w:style>
  <w:style w:type="paragraph" w:styleId="BodyBoldRed" w:customStyle="1">
    <w:name w:val="Body Bold Red"/>
    <w:basedOn w:val="Default"/>
    <w:link w:val="BodyBoldRedChar"/>
    <w:qFormat w:val="1"/>
    <w:rsid w:val="00DF08E7"/>
    <w:pPr>
      <w:numPr>
        <w:numId w:val="2"/>
      </w:numPr>
      <w:jc w:val="both"/>
    </w:pPr>
    <w:rPr>
      <w:b w:val="1"/>
      <w:bCs w:val="1"/>
      <w:color w:val="e40038"/>
      <w:sz w:val="18"/>
      <w:szCs w:val="18"/>
    </w:rPr>
  </w:style>
  <w:style w:type="character" w:styleId="DefaultChar" w:customStyle="1">
    <w:name w:val="Default Char"/>
    <w:basedOn w:val="DefaultParagraphFont"/>
    <w:link w:val="Default"/>
    <w:rsid w:val="00DF08E7"/>
    <w:rPr>
      <w:rFonts w:ascii="Arial" w:cs="Arial" w:eastAsia="Times New Roman" w:hAnsi="Arial"/>
      <w:color w:val="000000"/>
      <w:sz w:val="24"/>
      <w:szCs w:val="24"/>
      <w:lang w:eastAsia="en-GB"/>
    </w:rPr>
  </w:style>
  <w:style w:type="character" w:styleId="BodyBoldBlueChar" w:customStyle="1">
    <w:name w:val="Body Bold Blue Char"/>
    <w:basedOn w:val="DefaultChar"/>
    <w:link w:val="BodyBoldBlue"/>
    <w:rsid w:val="00DF08E7"/>
    <w:rPr>
      <w:rFonts w:ascii="Arial" w:cs="Arial" w:eastAsia="Times New Roman" w:hAnsi="Arial"/>
      <w:b w:val="1"/>
      <w:color w:val="253143"/>
      <w:sz w:val="18"/>
      <w:szCs w:val="20"/>
      <w:lang w:eastAsia="en-GB"/>
    </w:rPr>
  </w:style>
  <w:style w:type="paragraph" w:styleId="GaramondBody" w:customStyle="1">
    <w:name w:val="Garamond Body"/>
    <w:basedOn w:val="Default"/>
    <w:link w:val="GaramondBodyChar"/>
    <w:qFormat w:val="1"/>
    <w:rsid w:val="008B6FF0"/>
    <w:pPr>
      <w:jc w:val="both"/>
    </w:pPr>
    <w:rPr>
      <w:rFonts w:ascii="Garamond" w:hAnsi="Garamond"/>
      <w:color w:val="615c5d"/>
      <w:sz w:val="18"/>
      <w:szCs w:val="18"/>
    </w:rPr>
  </w:style>
  <w:style w:type="character" w:styleId="BodyBoldRedChar" w:customStyle="1">
    <w:name w:val="Body Bold Red Char"/>
    <w:basedOn w:val="DefaultChar"/>
    <w:link w:val="BodyBoldRed"/>
    <w:rsid w:val="00DF08E7"/>
    <w:rPr>
      <w:rFonts w:ascii="Arial" w:cs="Arial" w:eastAsia="Times New Roman" w:hAnsi="Arial"/>
      <w:b w:val="1"/>
      <w:bCs w:val="1"/>
      <w:color w:val="e40038"/>
      <w:sz w:val="18"/>
      <w:szCs w:val="18"/>
      <w:lang w:eastAsia="en-GB"/>
    </w:rPr>
  </w:style>
  <w:style w:type="paragraph" w:styleId="NoSpacing">
    <w:name w:val="No Spacing"/>
    <w:uiPriority w:val="1"/>
    <w:rsid w:val="00DF08E7"/>
    <w:pPr>
      <w:spacing w:after="0" w:line="240" w:lineRule="auto"/>
    </w:pPr>
  </w:style>
  <w:style w:type="character" w:styleId="GaramondBodyChar" w:customStyle="1">
    <w:name w:val="Garamond Body Char"/>
    <w:basedOn w:val="DefaultChar"/>
    <w:link w:val="GaramondBody"/>
    <w:rsid w:val="00DF08E7"/>
    <w:rPr>
      <w:rFonts w:ascii="Garamond" w:cs="Arial" w:eastAsia="Times New Roman" w:hAnsi="Garamond"/>
      <w:color w:val="615c5d"/>
      <w:sz w:val="18"/>
      <w:szCs w:val="18"/>
      <w:lang w:eastAsia="en-GB"/>
    </w:rPr>
  </w:style>
  <w:style w:type="paragraph" w:styleId="SubHeading0" w:customStyle="1">
    <w:name w:val="SubHeading"/>
    <w:basedOn w:val="Normal"/>
    <w:link w:val="SubHeadingChar0"/>
    <w:qFormat w:val="1"/>
    <w:rsid w:val="00853C90"/>
    <w:pPr>
      <w:spacing w:after="0" w:line="276" w:lineRule="auto"/>
      <w:jc w:val="both"/>
    </w:pPr>
    <w:rPr>
      <w:rFonts w:ascii="Arial" w:hAnsi="Arial"/>
      <w:b w:val="1"/>
      <w:color w:val="e40038"/>
      <w:sz w:val="18"/>
    </w:rPr>
  </w:style>
  <w:style w:type="character" w:styleId="SubHeadingChar0" w:customStyle="1">
    <w:name w:val="SubHeading Char"/>
    <w:basedOn w:val="DefaultParagraphFont"/>
    <w:link w:val="SubHeading0"/>
    <w:rsid w:val="00853C90"/>
    <w:rPr>
      <w:rFonts w:ascii="Arial" w:hAnsi="Arial"/>
      <w:b w:val="1"/>
      <w:color w:val="e40038"/>
      <w:sz w:val="18"/>
    </w:rPr>
  </w:style>
  <w:style w:type="paragraph" w:styleId="DefaultText" w:customStyle="1">
    <w:name w:val="Default Text"/>
    <w:rsid w:val="00853C90"/>
    <w:pPr>
      <w:autoSpaceDE w:val="0"/>
      <w:autoSpaceDN w:val="0"/>
      <w:adjustRightInd w:val="0"/>
      <w:spacing w:after="0" w:line="240" w:lineRule="auto"/>
    </w:pPr>
    <w:rPr>
      <w:rFonts w:ascii="Arial" w:cs="Arial" w:hAnsi="Arial"/>
      <w:color w:val="000000"/>
      <w:sz w:val="20"/>
      <w:szCs w:val="20"/>
    </w:rPr>
  </w:style>
  <w:style w:type="paragraph" w:styleId="GaramondBold" w:customStyle="1">
    <w:name w:val="Garamond Bold"/>
    <w:basedOn w:val="GaramondBody"/>
    <w:link w:val="GaramondBoldChar"/>
    <w:qFormat w:val="1"/>
    <w:rsid w:val="00AF6E77"/>
    <w:rPr>
      <w:b w:val="1"/>
    </w:rPr>
  </w:style>
  <w:style w:type="character" w:styleId="IntenseEmphasis">
    <w:name w:val="Intense Emphasis"/>
    <w:aliases w:val="Main Text"/>
    <w:uiPriority w:val="21"/>
    <w:qFormat w:val="1"/>
    <w:rsid w:val="00D83E26"/>
    <w:rPr>
      <w:rFonts w:ascii="Swis721 Lt BT" w:hAnsi="Swis721 Lt BT"/>
      <w:color w:val="auto"/>
      <w:sz w:val="20"/>
    </w:rPr>
  </w:style>
  <w:style w:type="character" w:styleId="GaramondBoldChar" w:customStyle="1">
    <w:name w:val="Garamond Bold Char"/>
    <w:basedOn w:val="GaramondBodyChar"/>
    <w:link w:val="GaramondBold"/>
    <w:rsid w:val="00AF6E77"/>
    <w:rPr>
      <w:rFonts w:ascii="Garamond" w:cs="Arial" w:eastAsia="Times New Roman" w:hAnsi="Garamond"/>
      <w:b w:val="1"/>
      <w:color w:val="615c5d"/>
      <w:sz w:val="18"/>
      <w:szCs w:val="18"/>
      <w:lang w:eastAsia="en-GB"/>
    </w:rPr>
  </w:style>
  <w:style w:type="paragraph" w:styleId="Pa6" w:customStyle="1">
    <w:name w:val="Pa6"/>
    <w:basedOn w:val="Normal"/>
    <w:next w:val="Normal"/>
    <w:uiPriority w:val="99"/>
    <w:rsid w:val="00D83E26"/>
    <w:pPr>
      <w:widowControl w:val="0"/>
      <w:autoSpaceDE w:val="0"/>
      <w:autoSpaceDN w:val="0"/>
      <w:adjustRightInd w:val="0"/>
      <w:spacing w:after="0" w:line="201" w:lineRule="atLeast"/>
    </w:pPr>
    <w:rPr>
      <w:rFonts w:ascii="Trebuchet MS" w:cs="Times New Roman" w:eastAsia="Times" w:hAnsi="Trebuchet MS"/>
      <w:sz w:val="24"/>
      <w:szCs w:val="24"/>
      <w:lang w:val="en-US"/>
    </w:rPr>
  </w:style>
  <w:style w:type="paragraph" w:styleId="TableText" w:customStyle="1">
    <w:name w:val="Table Text"/>
    <w:rsid w:val="003D2348"/>
    <w:pPr>
      <w:widowControl w:val="0"/>
      <w:autoSpaceDE w:val="0"/>
      <w:autoSpaceDN w:val="0"/>
      <w:adjustRightInd w:val="0"/>
      <w:spacing w:after="0" w:line="240" w:lineRule="auto"/>
    </w:pPr>
    <w:rPr>
      <w:rFonts w:ascii="Arial" w:cs="Times New Roman" w:eastAsia="Times New Roman" w:hAnsi="Arial"/>
      <w:noProof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0" w:type="dxa"/>
        <w:left w:w="115.0" w:type="dxa"/>
        <w:bottom w:w="11.0" w:type="dxa"/>
        <w:right w:w="115.0" w:type="dxa"/>
      </w:tblCellMar>
    </w:tblPr>
  </w:style>
  <w:style w:type="table" w:styleId="Table2">
    <w:basedOn w:val="TableNormal"/>
    <w:tblPr>
      <w:tblStyleRowBandSize w:val="1"/>
      <w:tblStyleColBandSize w:val="1"/>
      <w:tblCellMar>
        <w:top w:w="11.0" w:type="dxa"/>
        <w:left w:w="115.0" w:type="dxa"/>
        <w:bottom w:w="11.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0" w:type="dxa"/>
        <w:left w:w="115.0" w:type="dxa"/>
        <w:bottom w:w="11.0" w:type="dxa"/>
        <w:right w:w="115.0" w:type="dxa"/>
      </w:tblCellMar>
    </w:tblPr>
  </w:style>
  <w:style w:type="table" w:styleId="Table2">
    <w:basedOn w:val="TableNormal"/>
    <w:tblPr>
      <w:tblStyleRowBandSize w:val="1"/>
      <w:tblStyleColBandSize w:val="1"/>
      <w:tblCellMar>
        <w:top w:w="11.0" w:type="dxa"/>
        <w:left w:w="115.0" w:type="dxa"/>
        <w:bottom w:w="11.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N6JgBnRMNexD0k+SMaTTCNDaA==">CgMxLjAyDWguYnhlNnBhazJzYzMyDmgudWVvb2NqZHdoNmltMg5oLjR2dnJzZWhyejd3YzIOaC5tNnIyaGZnM2c5djEyDmgubzBoNG1kM2htZXVnMg5oLnJrODRzdXNhMTJuNjIOaC5oM2JmbHBmdG03bzYyDmgueGp3c3dnbTdnaTc0OAByITF5WXVyckZKSFlpSUYtNmRDSWZTTWpKQ2RfUVhpTmpKSg==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2016-06-10T12:35:00Z</dcterms:created>
  <dc:creator>David Hawkins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7427834a-295d-4ccb-99da-851e282d6161</vt:lpwstr>
  </property>
  <property fmtid="{D5CDD505-2E9C-101B-9397-08002B2CF9AE}" pid="4" name="Clauses">
    <vt:lpwstr>Clauses</vt:lpwstr>
  </property>
  <property fmtid="{D5CDD505-2E9C-101B-9397-08002B2CF9AE}" pid="5" name="Document Pack GB">
    <vt:lpwstr>Document Pack GB</vt:lpwstr>
  </property>
  <property fmtid="{D5CDD505-2E9C-101B-9397-08002B2CF9AE}" pid="6" name="Industry Type">
    <vt:lpwstr>Industry Type</vt:lpwstr>
  </property>
  <property fmtid="{D5CDD505-2E9C-101B-9397-08002B2CF9AE}" pid="7" name="Caveats">
    <vt:lpwstr>Caveats</vt:lpwstr>
  </property>
  <property fmtid="{D5CDD505-2E9C-101B-9397-08002B2CF9AE}" pid="8" name="Document Type">
    <vt:lpwstr>6;#Stationery|7e1e5c5b-368e-4019-a948-b4d7e9c142b9</vt:lpwstr>
  </property>
  <property fmtid="{D5CDD505-2E9C-101B-9397-08002B2CF9AE}" pid="9" name="Contract Type">
    <vt:lpwstr>Contract Type</vt:lpwstr>
  </property>
  <property fmtid="{D5CDD505-2E9C-101B-9397-08002B2CF9AE}" pid="10" name="Location">
    <vt:lpwstr>11;#England|f871836e-7dba-4a6c-aa3a-de357482fdaa</vt:lpwstr>
  </property>
  <property fmtid="{D5CDD505-2E9C-101B-9397-08002B2CF9AE}" pid="11" name="Jurisdiction">
    <vt:lpwstr>251;#Great Britain|c309838f-918d-4ea1-8e5d-e0ba9a815d04;#263;#Jersey|da360877-83db-4fc5-bff6-1a2c69621007;#254;#Guernsey|11c2795c-e1fc-444b-8c57-0bd6fe35483b;#260;#Isle of Man|42fb4f62-e761-4cf0-96cf-6fff3706cfd8</vt:lpwstr>
  </property>
  <property fmtid="{D5CDD505-2E9C-101B-9397-08002B2CF9AE}" pid="12" name="Types">
    <vt:lpwstr>268;#HR Forms|d2dda6e8-23ed-49fb-ae68-f4fcb5e566bd</vt:lpwstr>
  </property>
</Properties>
</file>