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b w:val="1"/>
          <w:sz w:val="36"/>
          <w:szCs w:val="36"/>
        </w:rPr>
      </w:pPr>
      <w:bookmarkStart w:colFirst="0" w:colLast="0" w:name="_heading=h.lyh0pnz3i6zq" w:id="0"/>
      <w:bookmarkEnd w:id="0"/>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1"/>
          <w:color w:val="274e13"/>
          <w:sz w:val="72"/>
          <w:szCs w:val="72"/>
        </w:rPr>
      </w:pPr>
      <w:r w:rsidDel="00000000" w:rsidR="00000000" w:rsidRPr="00000000">
        <w:rPr>
          <w:rFonts w:ascii="Arial" w:cs="Arial" w:eastAsia="Arial" w:hAnsi="Arial"/>
          <w:b w:val="1"/>
          <w:color w:val="274e13"/>
          <w:sz w:val="72"/>
          <w:szCs w:val="72"/>
          <w:rtl w:val="0"/>
        </w:rPr>
        <w:t xml:space="preserve">Notting Hill College</w:t>
      </w:r>
    </w:p>
    <w:p w:rsidR="00000000" w:rsidDel="00000000" w:rsidP="00000000" w:rsidRDefault="00000000" w:rsidRPr="00000000" w14:paraId="00000009">
      <w:pPr>
        <w:spacing w:after="0" w:lineRule="auto"/>
        <w:rPr>
          <w:rFonts w:ascii="Arial" w:cs="Arial" w:eastAsia="Arial" w:hAnsi="Arial"/>
          <w:b w:val="1"/>
          <w:color w:val="7f6000"/>
          <w:sz w:val="72"/>
          <w:szCs w:val="72"/>
        </w:rPr>
      </w:pPr>
      <w:r w:rsidDel="00000000" w:rsidR="00000000" w:rsidRPr="00000000">
        <w:rPr>
          <w:rFonts w:ascii="Arial" w:cs="Arial" w:eastAsia="Arial" w:hAnsi="Arial"/>
          <w:b w:val="1"/>
          <w:color w:val="7f6000"/>
          <w:sz w:val="72"/>
          <w:szCs w:val="72"/>
          <w:rtl w:val="0"/>
        </w:rPr>
        <w:t xml:space="preserve">Enquiries and Appeals Policy and Procedure</w:t>
      </w:r>
    </w:p>
    <w:p w:rsidR="00000000" w:rsidDel="00000000" w:rsidP="00000000" w:rsidRDefault="00000000" w:rsidRPr="00000000" w14:paraId="0000000A">
      <w:pPr>
        <w:spacing w:after="0" w:lineRule="auto"/>
        <w:rPr>
          <w:rFonts w:ascii="Arial" w:cs="Arial" w:eastAsia="Arial" w:hAnsi="Arial"/>
          <w:b w:val="1"/>
          <w:color w:val="7f6000"/>
          <w:sz w:val="72"/>
          <w:szCs w:val="72"/>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b w:val="1"/>
          <w:color w:val="002b51"/>
          <w:sz w:val="56"/>
          <w:szCs w:val="56"/>
        </w:rPr>
      </w:pPr>
      <w:r w:rsidDel="00000000" w:rsidR="00000000" w:rsidRPr="00000000">
        <w:rPr>
          <w:rFonts w:ascii="Arial" w:cs="Arial" w:eastAsia="Arial" w:hAnsi="Arial"/>
          <w:b w:val="1"/>
          <w:color w:val="002b51"/>
          <w:sz w:val="72"/>
          <w:szCs w:val="72"/>
          <w:rtl w:val="0"/>
        </w:rPr>
        <w:br w:type="textWrapping"/>
      </w: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E">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F">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0">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1">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2">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3">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4">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5">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6">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7">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19">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Enquiries and Appeals Policy and Procedure</w:t>
      </w:r>
    </w:p>
    <w:p w:rsidR="00000000" w:rsidDel="00000000" w:rsidP="00000000" w:rsidRDefault="00000000" w:rsidRPr="00000000" w14:paraId="0000001A">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1C">
      <w:pPr>
        <w:spacing w:after="0" w:line="240" w:lineRule="auto"/>
        <w:ind w:left="36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D">
      <w:pPr>
        <w:spacing w:after="0" w:line="240" w:lineRule="auto"/>
        <w:ind w:left="360"/>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Contents</w:t>
      </w:r>
    </w:p>
    <w:p w:rsidR="00000000" w:rsidDel="00000000" w:rsidP="00000000" w:rsidRDefault="00000000" w:rsidRPr="00000000" w14:paraId="0000001E">
      <w:pPr>
        <w:spacing w:after="120" w:before="120" w:lineRule="auto"/>
        <w:rPr>
          <w:sz w:val="10"/>
          <w:szCs w:val="1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tabs>
              <w:tab w:val="left" w:leader="none" w:pos="440"/>
              <w:tab w:val="right" w:leader="none" w:pos="9742"/>
              <w:tab w:val="right" w:leader="dot" w:pos="9750"/>
            </w:tabs>
            <w:spacing w:after="240" w:lineRule="auto"/>
            <w:rPr>
              <w:rFonts w:ascii="Arial" w:cs="Arial" w:eastAsia="Arial" w:hAnsi="Arial"/>
            </w:rPr>
          </w:pPr>
          <w:r w:rsidDel="00000000" w:rsidR="00000000" w:rsidRPr="00000000">
            <w:fldChar w:fldCharType="begin"/>
            <w:instrText xml:space="preserve"> TOC \h \u \z \t "Heading 1,1,Heading 2,2,Heading 3,3,"</w:instrText>
            <w:fldChar w:fldCharType="separate"/>
          </w:r>
          <w:hyperlink w:anchor="_heading=h.r2r6krml5oyv">
            <w:r w:rsidDel="00000000" w:rsidR="00000000" w:rsidRPr="00000000">
              <w:rPr>
                <w:rFonts w:ascii="Arial" w:cs="Arial" w:eastAsia="Arial" w:hAnsi="Arial"/>
                <w:rtl w:val="0"/>
              </w:rPr>
              <w:t xml:space="preserve">1.    Introduction</w:t>
              <w:tab/>
            </w:r>
          </w:hyperlink>
          <w:r w:rsidDel="00000000" w:rsidR="00000000" w:rsidRPr="00000000">
            <w:rPr>
              <w:rFonts w:ascii="Arial" w:cs="Arial" w:eastAsia="Arial" w:hAnsi="Arial"/>
              <w:rtl w:val="0"/>
            </w:rPr>
            <w:t xml:space="preserve">3</w:t>
          </w:r>
        </w:p>
        <w:p w:rsidR="00000000" w:rsidDel="00000000" w:rsidP="00000000" w:rsidRDefault="00000000" w:rsidRPr="00000000" w14:paraId="00000020">
          <w:pPr>
            <w:tabs>
              <w:tab w:val="left" w:leader="none" w:pos="440"/>
              <w:tab w:val="right" w:leader="none" w:pos="9742"/>
              <w:tab w:val="left" w:leader="none" w:pos="435"/>
              <w:tab w:val="right" w:leader="dot" w:pos="9750"/>
            </w:tabs>
            <w:spacing w:after="240" w:lineRule="auto"/>
            <w:rPr>
              <w:rFonts w:ascii="Arial" w:cs="Arial" w:eastAsia="Arial" w:hAnsi="Arial"/>
            </w:rPr>
          </w:pPr>
          <w:hyperlink w:anchor="_heading=h.eztc1ojlamzz">
            <w:r w:rsidDel="00000000" w:rsidR="00000000" w:rsidRPr="00000000">
              <w:rPr>
                <w:rFonts w:ascii="Arial" w:cs="Arial" w:eastAsia="Arial" w:hAnsi="Arial"/>
                <w:rtl w:val="0"/>
              </w:rPr>
              <w:t xml:space="preserve">2.</w:t>
              <w:tab/>
              <w:t xml:space="preserve">Who is this policy for?</w:t>
              <w:tab/>
            </w:r>
          </w:hyperlink>
          <w:r w:rsidDel="00000000" w:rsidR="00000000" w:rsidRPr="00000000">
            <w:rPr>
              <w:rFonts w:ascii="Arial" w:cs="Arial" w:eastAsia="Arial" w:hAnsi="Arial"/>
              <w:rtl w:val="0"/>
            </w:rPr>
            <w:t xml:space="preserve">3</w:t>
          </w:r>
        </w:p>
        <w:p w:rsidR="00000000" w:rsidDel="00000000" w:rsidP="00000000" w:rsidRDefault="00000000" w:rsidRPr="00000000" w14:paraId="00000021">
          <w:pPr>
            <w:tabs>
              <w:tab w:val="left" w:leader="none" w:pos="440"/>
              <w:tab w:val="right" w:leader="none" w:pos="9742"/>
              <w:tab w:val="left" w:leader="none" w:pos="435"/>
              <w:tab w:val="right" w:leader="dot" w:pos="9750"/>
            </w:tabs>
            <w:spacing w:after="240" w:lineRule="auto"/>
            <w:rPr>
              <w:rFonts w:ascii="Arial" w:cs="Arial" w:eastAsia="Arial" w:hAnsi="Arial"/>
            </w:rPr>
          </w:pPr>
          <w:hyperlink w:anchor="_heading=h.fpmpqhdtgzb1">
            <w:r w:rsidDel="00000000" w:rsidR="00000000" w:rsidRPr="00000000">
              <w:rPr>
                <w:rFonts w:ascii="Arial" w:cs="Arial" w:eastAsia="Arial" w:hAnsi="Arial"/>
                <w:rtl w:val="0"/>
              </w:rPr>
              <w:t xml:space="preserve">3.</w:t>
              <w:tab/>
              <w:t xml:space="preserve">Scope of an appeal</w:t>
              <w:tab/>
            </w:r>
          </w:hyperlink>
          <w:r w:rsidDel="00000000" w:rsidR="00000000" w:rsidRPr="00000000">
            <w:rPr>
              <w:rFonts w:ascii="Arial" w:cs="Arial" w:eastAsia="Arial" w:hAnsi="Arial"/>
              <w:rtl w:val="0"/>
            </w:rPr>
            <w:t xml:space="preserve">4</w:t>
          </w:r>
        </w:p>
        <w:p w:rsidR="00000000" w:rsidDel="00000000" w:rsidP="00000000" w:rsidRDefault="00000000" w:rsidRPr="00000000" w14:paraId="00000022">
          <w:pPr>
            <w:tabs>
              <w:tab w:val="left" w:leader="none" w:pos="440"/>
              <w:tab w:val="right" w:leader="none" w:pos="9742"/>
              <w:tab w:val="left" w:leader="none" w:pos="435"/>
              <w:tab w:val="right" w:leader="dot" w:pos="9750"/>
            </w:tabs>
            <w:spacing w:after="240" w:lineRule="auto"/>
            <w:rPr>
              <w:rFonts w:ascii="Arial" w:cs="Arial" w:eastAsia="Arial" w:hAnsi="Arial"/>
            </w:rPr>
          </w:pPr>
          <w:hyperlink w:anchor="_heading=h.j3fjsyvc34ao">
            <w:r w:rsidDel="00000000" w:rsidR="00000000" w:rsidRPr="00000000">
              <w:rPr>
                <w:rFonts w:ascii="Arial" w:cs="Arial" w:eastAsia="Arial" w:hAnsi="Arial"/>
                <w:rtl w:val="0"/>
              </w:rPr>
              <w:t xml:space="preserve">4.</w:t>
              <w:tab/>
              <w:t xml:space="preserve">The Appeals Process</w:t>
              <w:tab/>
            </w:r>
          </w:hyperlink>
          <w:r w:rsidDel="00000000" w:rsidR="00000000" w:rsidRPr="00000000">
            <w:rPr>
              <w:rFonts w:ascii="Arial" w:cs="Arial" w:eastAsia="Arial" w:hAnsi="Arial"/>
              <w:rtl w:val="0"/>
            </w:rPr>
            <w:t xml:space="preserve">5</w:t>
          </w:r>
        </w:p>
        <w:p w:rsidR="00000000" w:rsidDel="00000000" w:rsidP="00000000" w:rsidRDefault="00000000" w:rsidRPr="00000000" w14:paraId="00000023">
          <w:pPr>
            <w:tabs>
              <w:tab w:val="left" w:leader="none" w:pos="440"/>
              <w:tab w:val="right" w:leader="none" w:pos="9742"/>
              <w:tab w:val="left" w:leader="none" w:pos="435"/>
              <w:tab w:val="right" w:leader="dot" w:pos="9750"/>
            </w:tabs>
            <w:spacing w:after="240" w:lineRule="auto"/>
            <w:rPr>
              <w:rFonts w:ascii="Arial" w:cs="Arial" w:eastAsia="Arial" w:hAnsi="Arial"/>
            </w:rPr>
          </w:pPr>
          <w:hyperlink w:anchor="_heading=h.v52py6yunr4r">
            <w:r w:rsidDel="00000000" w:rsidR="00000000" w:rsidRPr="00000000">
              <w:rPr>
                <w:rFonts w:ascii="Arial" w:cs="Arial" w:eastAsia="Arial" w:hAnsi="Arial"/>
                <w:rtl w:val="0"/>
              </w:rPr>
              <w:t xml:space="preserve">5.</w:t>
              <w:tab/>
              <w:t xml:space="preserve">Potential Outcomes of an Appeal</w:t>
              <w:tab/>
            </w:r>
          </w:hyperlink>
          <w:r w:rsidDel="00000000" w:rsidR="00000000" w:rsidRPr="00000000">
            <w:rPr>
              <w:rFonts w:ascii="Arial" w:cs="Arial" w:eastAsia="Arial" w:hAnsi="Arial"/>
              <w:rtl w:val="0"/>
            </w:rPr>
            <w:t xml:space="preserve">6</w:t>
          </w:r>
        </w:p>
        <w:p w:rsidR="00000000" w:rsidDel="00000000" w:rsidP="00000000" w:rsidRDefault="00000000" w:rsidRPr="00000000" w14:paraId="00000024">
          <w:pPr>
            <w:tabs>
              <w:tab w:val="left" w:leader="none" w:pos="440"/>
              <w:tab w:val="right" w:leader="none" w:pos="9742"/>
              <w:tab w:val="left" w:leader="none" w:pos="435"/>
              <w:tab w:val="right" w:leader="dot" w:pos="9750"/>
            </w:tabs>
            <w:spacing w:after="240" w:lineRule="auto"/>
            <w:rPr>
              <w:rFonts w:ascii="Arial" w:cs="Arial" w:eastAsia="Arial" w:hAnsi="Arial"/>
            </w:rPr>
          </w:pPr>
          <w:hyperlink w:anchor="_heading=h.1x6l32mkeenh">
            <w:r w:rsidDel="00000000" w:rsidR="00000000" w:rsidRPr="00000000">
              <w:rPr>
                <w:rFonts w:ascii="Arial" w:cs="Arial" w:eastAsia="Arial" w:hAnsi="Arial"/>
                <w:rtl w:val="0"/>
              </w:rPr>
              <w:t xml:space="preserve">6.</w:t>
              <w:tab/>
              <w:t xml:space="preserve">Version History</w:t>
              <w:tab/>
            </w:r>
          </w:hyperlink>
          <w:r w:rsidDel="00000000" w:rsidR="00000000" w:rsidRPr="00000000">
            <w:rPr>
              <w:rFonts w:ascii="Arial" w:cs="Arial" w:eastAsia="Arial" w:hAnsi="Arial"/>
              <w:rtl w:val="0"/>
            </w:rPr>
            <w:t xml:space="preserve">7</w:t>
          </w:r>
          <w:r w:rsidDel="00000000" w:rsidR="00000000" w:rsidRPr="00000000">
            <w:fldChar w:fldCharType="end"/>
          </w:r>
        </w:p>
      </w:sdtContent>
    </w:sdt>
    <w:p w:rsidR="00000000" w:rsidDel="00000000" w:rsidP="00000000" w:rsidRDefault="00000000" w:rsidRPr="00000000" w14:paraId="00000025">
      <w:pPr>
        <w:tabs>
          <w:tab w:val="left" w:leader="none" w:pos="284"/>
        </w:tabs>
        <w:spacing w:after="120" w:before="120" w:lineRule="auto"/>
        <w:rPr/>
      </w:pPr>
      <w:r w:rsidDel="00000000" w:rsidR="00000000" w:rsidRPr="00000000">
        <w:rPr>
          <w:rtl w:val="0"/>
        </w:rPr>
      </w:r>
    </w:p>
    <w:p w:rsidR="00000000" w:rsidDel="00000000" w:rsidP="00000000" w:rsidRDefault="00000000" w:rsidRPr="00000000" w14:paraId="00000026">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7">
      <w:pPr>
        <w:rPr>
          <w:rFonts w:ascii="Arial" w:cs="Arial" w:eastAsia="Arial" w:hAnsi="Arial"/>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29">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Enquiries and Appeals Policy and Procedure</w:t>
      </w:r>
    </w:p>
    <w:p w:rsidR="00000000" w:rsidDel="00000000" w:rsidP="00000000" w:rsidRDefault="00000000" w:rsidRPr="00000000" w14:paraId="0000002A">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sz w:val="12"/>
          <w:szCs w:val="12"/>
        </w:rPr>
      </w:pPr>
      <w:r w:rsidDel="00000000" w:rsidR="00000000" w:rsidRPr="00000000">
        <w:rPr>
          <w:rtl w:val="0"/>
        </w:rPr>
      </w:r>
    </w:p>
    <w:tbl>
      <w:tblPr>
        <w:tblStyle w:val="Table1"/>
        <w:tblW w:w="97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400"/>
      </w:tblPr>
      <w:tblGrid>
        <w:gridCol w:w="1980"/>
        <w:gridCol w:w="4395"/>
        <w:gridCol w:w="2100"/>
        <w:gridCol w:w="1305"/>
        <w:tblGridChange w:id="0">
          <w:tblGrid>
            <w:gridCol w:w="1980"/>
            <w:gridCol w:w="4395"/>
            <w:gridCol w:w="2100"/>
            <w:gridCol w:w="1305"/>
          </w:tblGrid>
        </w:tblGridChange>
      </w:tblGrid>
      <w:tr>
        <w:trPr>
          <w:cantSplit w:val="0"/>
          <w:trHeight w:val="397" w:hRule="atLeast"/>
          <w:tblHeader w:val="0"/>
        </w:trPr>
        <w:tc>
          <w:tcPr>
            <w:gridSpan w:val="4"/>
            <w:shd w:fill="baa76c" w:val="clear"/>
            <w:vAlign w:val="center"/>
          </w:tcPr>
          <w:p w:rsidR="00000000" w:rsidDel="00000000" w:rsidP="00000000" w:rsidRDefault="00000000" w:rsidRPr="00000000" w14:paraId="0000002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Centre Details</w:t>
            </w:r>
          </w:p>
        </w:tc>
      </w:tr>
      <w:tr>
        <w:trPr>
          <w:cantSplit w:val="0"/>
          <w:trHeight w:val="462.978515625" w:hRule="atLeast"/>
          <w:tblHeader w:val="0"/>
        </w:trPr>
        <w:tc>
          <w:tcPr>
            <w:shd w:fill="e6dab5" w:val="clear"/>
            <w:vAlign w:val="center"/>
          </w:tcPr>
          <w:p w:rsidR="00000000" w:rsidDel="00000000" w:rsidP="00000000" w:rsidRDefault="00000000" w:rsidRPr="00000000" w14:paraId="0000003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Centre Name:</w:t>
            </w:r>
          </w:p>
        </w:tc>
        <w:tc>
          <w:tcPr>
            <w:shd w:fill="auto" w:val="clear"/>
            <w:vAlign w:val="center"/>
          </w:tcPr>
          <w:p w:rsidR="00000000" w:rsidDel="00000000" w:rsidP="00000000" w:rsidRDefault="00000000" w:rsidRPr="00000000" w14:paraId="00000032">
            <w:pPr>
              <w:spacing w:after="0" w:before="120" w:line="240" w:lineRule="auto"/>
              <w:rPr>
                <w:rFonts w:ascii="Arial" w:cs="Arial" w:eastAsia="Arial" w:hAnsi="Arial"/>
              </w:rPr>
            </w:pPr>
            <w:r w:rsidDel="00000000" w:rsidR="00000000" w:rsidRPr="00000000">
              <w:rPr>
                <w:rFonts w:ascii="Arial" w:cs="Arial" w:eastAsia="Arial" w:hAnsi="Arial"/>
                <w:rtl w:val="0"/>
              </w:rPr>
              <w:t xml:space="preserve">Notting Hill College</w:t>
            </w:r>
            <w:r w:rsidDel="00000000" w:rsidR="00000000" w:rsidRPr="00000000">
              <w:rPr>
                <w:rtl w:val="0"/>
              </w:rPr>
            </w:r>
          </w:p>
        </w:tc>
        <w:tc>
          <w:tcPr>
            <w:shd w:fill="e6dab5" w:val="clear"/>
            <w:vAlign w:val="center"/>
          </w:tcPr>
          <w:p w:rsidR="00000000" w:rsidDel="00000000" w:rsidP="00000000" w:rsidRDefault="00000000" w:rsidRPr="00000000" w14:paraId="00000033">
            <w:pPr>
              <w:spacing w:after="0" w:before="120" w:line="240" w:lineRule="auto"/>
              <w:rPr>
                <w:rFonts w:ascii="Arial" w:cs="Arial" w:eastAsia="Arial" w:hAnsi="Arial"/>
                <w:b w:val="1"/>
              </w:rPr>
            </w:pPr>
            <w:r w:rsidDel="00000000" w:rsidR="00000000" w:rsidRPr="00000000">
              <w:rPr>
                <w:rFonts w:ascii="Arial" w:cs="Arial" w:eastAsia="Arial" w:hAnsi="Arial"/>
                <w:b w:val="1"/>
                <w:rtl w:val="0"/>
              </w:rPr>
              <w:t xml:space="preserve">Centre Number:</w:t>
            </w:r>
          </w:p>
        </w:tc>
        <w:tc>
          <w:tcPr>
            <w:shd w:fill="auto" w:val="clear"/>
            <w:vAlign w:val="center"/>
          </w:tcPr>
          <w:p w:rsidR="00000000" w:rsidDel="00000000" w:rsidP="00000000" w:rsidRDefault="00000000" w:rsidRPr="00000000" w14:paraId="00000034">
            <w:pPr>
              <w:spacing w:after="0" w:before="12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35">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Throughout this policy, the term ‘the Centre’ will be used to refer to the Centre details above.</w:t>
      </w:r>
    </w:p>
    <w:p w:rsidR="00000000" w:rsidDel="00000000" w:rsidP="00000000" w:rsidRDefault="00000000" w:rsidRPr="00000000" w14:paraId="00000038">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sz w:val="12"/>
          <w:szCs w:val="12"/>
        </w:rPr>
      </w:pPr>
      <w:r w:rsidDel="00000000" w:rsidR="00000000" w:rsidRPr="00000000">
        <w:rPr>
          <w:rtl w:val="0"/>
        </w:rPr>
      </w:r>
    </w:p>
    <w:tbl>
      <w:tblPr>
        <w:tblStyle w:val="Table2"/>
        <w:tblW w:w="97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400"/>
      </w:tblPr>
      <w:tblGrid>
        <w:gridCol w:w="2535"/>
        <w:gridCol w:w="2850"/>
        <w:gridCol w:w="2160"/>
        <w:gridCol w:w="2235"/>
        <w:tblGridChange w:id="0">
          <w:tblGrid>
            <w:gridCol w:w="2535"/>
            <w:gridCol w:w="2850"/>
            <w:gridCol w:w="2160"/>
            <w:gridCol w:w="2235"/>
          </w:tblGrid>
        </w:tblGridChange>
      </w:tblGrid>
      <w:tr>
        <w:trPr>
          <w:cantSplit w:val="0"/>
          <w:trHeight w:val="397" w:hRule="atLeast"/>
          <w:tblHeader w:val="0"/>
        </w:trPr>
        <w:tc>
          <w:tcPr>
            <w:gridSpan w:val="4"/>
            <w:tcBorders>
              <w:left w:color="808080" w:space="0" w:sz="4" w:val="single"/>
            </w:tcBorders>
            <w:shd w:fill="baa76c" w:val="clear"/>
            <w:vAlign w:val="center"/>
          </w:tcPr>
          <w:p w:rsidR="00000000" w:rsidDel="00000000" w:rsidP="00000000" w:rsidRDefault="00000000" w:rsidRPr="00000000" w14:paraId="0000003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Policy Details</w:t>
            </w:r>
          </w:p>
        </w:tc>
      </w:tr>
      <w:tr>
        <w:trPr>
          <w:cantSplit w:val="0"/>
          <w:trHeight w:val="397" w:hRule="atLeast"/>
          <w:tblHeader w:val="0"/>
        </w:trPr>
        <w:tc>
          <w:tcPr>
            <w:tcBorders>
              <w:left w:color="808080" w:space="0" w:sz="4" w:val="single"/>
            </w:tcBorders>
            <w:shd w:fill="e6dab5" w:val="clear"/>
            <w:vAlign w:val="center"/>
          </w:tcPr>
          <w:p w:rsidR="00000000" w:rsidDel="00000000" w:rsidP="00000000" w:rsidRDefault="00000000" w:rsidRPr="00000000" w14:paraId="0000003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Date Published:</w:t>
            </w:r>
          </w:p>
        </w:tc>
        <w:tc>
          <w:tcPr>
            <w:shd w:fill="auto" w:val="clear"/>
            <w:vAlign w:val="center"/>
          </w:tcPr>
          <w:p w:rsidR="00000000" w:rsidDel="00000000" w:rsidP="00000000" w:rsidRDefault="00000000" w:rsidRPr="00000000" w14:paraId="0000003F">
            <w:pPr>
              <w:spacing w:after="0" w:before="120" w:line="240" w:lineRule="auto"/>
              <w:rPr>
                <w:rFonts w:ascii="Arial" w:cs="Arial" w:eastAsia="Arial" w:hAnsi="Arial"/>
                <w:b w:val="1"/>
              </w:rPr>
            </w:pPr>
            <w:r w:rsidDel="00000000" w:rsidR="00000000" w:rsidRPr="00000000">
              <w:rPr>
                <w:rFonts w:ascii="Arial" w:cs="Arial" w:eastAsia="Arial" w:hAnsi="Arial"/>
                <w:rtl w:val="0"/>
              </w:rPr>
              <w:t xml:space="preserve">16 May 2025</w:t>
            </w:r>
            <w:r w:rsidDel="00000000" w:rsidR="00000000" w:rsidRPr="00000000">
              <w:rPr>
                <w:rtl w:val="0"/>
              </w:rPr>
            </w:r>
          </w:p>
        </w:tc>
        <w:tc>
          <w:tcPr>
            <w:shd w:fill="e6dab5" w:val="clear"/>
            <w:vAlign w:val="center"/>
          </w:tcPr>
          <w:p w:rsidR="00000000" w:rsidDel="00000000" w:rsidP="00000000" w:rsidRDefault="00000000" w:rsidRPr="00000000" w14:paraId="00000040">
            <w:pPr>
              <w:spacing w:after="0" w:before="120" w:line="240" w:lineRule="auto"/>
              <w:rPr>
                <w:rFonts w:ascii="Arial" w:cs="Arial" w:eastAsia="Arial" w:hAnsi="Arial"/>
                <w:b w:val="1"/>
              </w:rPr>
            </w:pPr>
            <w:r w:rsidDel="00000000" w:rsidR="00000000" w:rsidRPr="00000000">
              <w:rPr>
                <w:rFonts w:ascii="Arial" w:cs="Arial" w:eastAsia="Arial" w:hAnsi="Arial"/>
                <w:b w:val="1"/>
                <w:rtl w:val="0"/>
              </w:rPr>
              <w:t xml:space="preserve">Version Number:</w:t>
            </w:r>
          </w:p>
        </w:tc>
        <w:tc>
          <w:tcPr>
            <w:shd w:fill="auto" w:val="clear"/>
            <w:vAlign w:val="center"/>
          </w:tcPr>
          <w:p w:rsidR="00000000" w:rsidDel="00000000" w:rsidP="00000000" w:rsidRDefault="00000000" w:rsidRPr="00000000" w14:paraId="00000041">
            <w:pPr>
              <w:spacing w:after="0" w:before="120" w:line="240" w:lineRule="auto"/>
              <w:rPr>
                <w:rFonts w:ascii="Arial" w:cs="Arial" w:eastAsia="Arial" w:hAnsi="Arial"/>
              </w:rPr>
            </w:pPr>
            <w:r w:rsidDel="00000000" w:rsidR="00000000" w:rsidRPr="00000000">
              <w:rPr>
                <w:rFonts w:ascii="Arial" w:cs="Arial" w:eastAsia="Arial" w:hAnsi="Arial"/>
                <w:rtl w:val="0"/>
              </w:rPr>
              <w:t xml:space="preserve">EAPV2025</w:t>
            </w:r>
            <w:r w:rsidDel="00000000" w:rsidR="00000000" w:rsidRPr="00000000">
              <w:rPr>
                <w:rtl w:val="0"/>
              </w:rPr>
            </w:r>
          </w:p>
        </w:tc>
      </w:tr>
      <w:tr>
        <w:trPr>
          <w:cantSplit w:val="0"/>
          <w:trHeight w:val="397" w:hRule="atLeast"/>
          <w:tblHeader w:val="0"/>
        </w:trPr>
        <w:tc>
          <w:tcPr>
            <w:tcBorders>
              <w:left w:color="808080" w:space="0" w:sz="4" w:val="single"/>
              <w:bottom w:color="808080" w:space="0" w:sz="4" w:val="single"/>
            </w:tcBorders>
            <w:shd w:fill="e6dab5" w:val="clear"/>
            <w:vAlign w:val="center"/>
          </w:tcPr>
          <w:p w:rsidR="00000000" w:rsidDel="00000000" w:rsidP="00000000" w:rsidRDefault="00000000" w:rsidRPr="00000000" w14:paraId="0000004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Date of Next Review:</w:t>
            </w:r>
          </w:p>
        </w:tc>
        <w:tc>
          <w:tcPr>
            <w:gridSpan w:val="3"/>
            <w:shd w:fill="auto" w:val="clear"/>
            <w:vAlign w:val="center"/>
          </w:tcPr>
          <w:p w:rsidR="00000000" w:rsidDel="00000000" w:rsidP="00000000" w:rsidRDefault="00000000" w:rsidRPr="00000000" w14:paraId="00000043">
            <w:pPr>
              <w:spacing w:after="0" w:before="120" w:line="240" w:lineRule="auto"/>
              <w:rPr>
                <w:rFonts w:ascii="Arial" w:cs="Arial" w:eastAsia="Arial" w:hAnsi="Arial"/>
                <w:b w:val="1"/>
              </w:rPr>
            </w:pPr>
            <w:r w:rsidDel="00000000" w:rsidR="00000000" w:rsidRPr="00000000">
              <w:rPr>
                <w:rFonts w:ascii="Arial" w:cs="Arial" w:eastAsia="Arial" w:hAnsi="Arial"/>
                <w:rtl w:val="0"/>
              </w:rPr>
              <w:t xml:space="preserve">May 2026</w:t>
            </w:r>
            <w:r w:rsidDel="00000000" w:rsidR="00000000" w:rsidRPr="00000000">
              <w:rPr>
                <w:rtl w:val="0"/>
              </w:rPr>
            </w:r>
          </w:p>
        </w:tc>
      </w:tr>
      <w:tr>
        <w:trPr>
          <w:cantSplit w:val="0"/>
          <w:trHeight w:val="421.4794921875" w:hRule="atLeast"/>
          <w:tblHeader w:val="0"/>
        </w:trPr>
        <w:tc>
          <w:tcPr>
            <w:gridSpan w:val="2"/>
            <w:tcBorders>
              <w:left w:color="808080" w:space="0" w:sz="4" w:val="single"/>
            </w:tcBorders>
            <w:shd w:fill="e6dab5" w:val="clear"/>
            <w:vAlign w:val="center"/>
          </w:tcPr>
          <w:p w:rsidR="00000000" w:rsidDel="00000000" w:rsidP="00000000" w:rsidRDefault="00000000" w:rsidRPr="00000000" w14:paraId="0000004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Individuals Responsible for Policy:</w:t>
            </w:r>
          </w:p>
        </w:tc>
        <w:tc>
          <w:tcPr>
            <w:gridSpan w:val="2"/>
            <w:shd w:fill="auto" w:val="clear"/>
            <w:vAlign w:val="center"/>
          </w:tcPr>
          <w:p w:rsidR="00000000" w:rsidDel="00000000" w:rsidP="00000000" w:rsidRDefault="00000000" w:rsidRPr="00000000" w14:paraId="00000048">
            <w:pPr>
              <w:spacing w:after="0" w:before="120" w:line="240" w:lineRule="auto"/>
              <w:rPr>
                <w:rFonts w:ascii="Arial" w:cs="Arial" w:eastAsia="Arial" w:hAnsi="Arial"/>
              </w:rPr>
            </w:pPr>
            <w:r w:rsidDel="00000000" w:rsidR="00000000" w:rsidRPr="00000000">
              <w:rPr>
                <w:rFonts w:ascii="Arial" w:cs="Arial" w:eastAsia="Arial" w:hAnsi="Arial"/>
                <w:rtl w:val="0"/>
              </w:rPr>
              <w:t xml:space="preserve">Amira Madkour and Iryna Hurkova</w:t>
            </w:r>
            <w:r w:rsidDel="00000000" w:rsidR="00000000" w:rsidRPr="00000000">
              <w:rPr>
                <w:rtl w:val="0"/>
              </w:rPr>
            </w:r>
          </w:p>
        </w:tc>
      </w:tr>
    </w:tbl>
    <w:p w:rsidR="00000000" w:rsidDel="00000000" w:rsidP="00000000" w:rsidRDefault="00000000" w:rsidRPr="00000000" w14:paraId="0000004A">
      <w:pPr>
        <w:rPr>
          <w:rFonts w:ascii="Arial" w:cs="Arial" w:eastAsia="Arial" w:hAnsi="Arial"/>
          <w:b w:val="1"/>
          <w:color w:val="002b51"/>
        </w:rPr>
      </w:pPr>
      <w:r w:rsidDel="00000000" w:rsidR="00000000" w:rsidRPr="00000000">
        <w:rPr>
          <w:rtl w:val="0"/>
        </w:rPr>
      </w:r>
    </w:p>
    <w:p w:rsidR="00000000" w:rsidDel="00000000" w:rsidP="00000000" w:rsidRDefault="00000000" w:rsidRPr="00000000" w14:paraId="0000004B">
      <w:pPr>
        <w:rPr>
          <w:rFonts w:ascii="Arial Black" w:cs="Arial Black" w:eastAsia="Arial Black" w:hAnsi="Arial Black"/>
          <w:b w:val="1"/>
          <w:color w:val="7f6000"/>
        </w:rPr>
      </w:pPr>
      <w:bookmarkStart w:colFirst="0" w:colLast="0" w:name="_heading=h.r2r6krml5oyv" w:id="1"/>
      <w:bookmarkEnd w:id="1"/>
      <w:r w:rsidDel="00000000" w:rsidR="00000000" w:rsidRPr="00000000">
        <w:rPr>
          <w:rFonts w:ascii="Arial Black" w:cs="Arial Black" w:eastAsia="Arial Black" w:hAnsi="Arial Black"/>
          <w:b w:val="1"/>
          <w:color w:val="7f6000"/>
          <w:rtl w:val="0"/>
        </w:rPr>
        <w:t xml:space="preserve">1.  Introduction</w:t>
      </w:r>
    </w:p>
    <w:p w:rsidR="00000000" w:rsidDel="00000000" w:rsidP="00000000" w:rsidRDefault="00000000" w:rsidRPr="00000000" w14:paraId="0000004C">
      <w:pPr>
        <w:numPr>
          <w:ilvl w:val="1"/>
          <w:numId w:val="3"/>
        </w:numPr>
        <w:spacing w:after="0" w:lineRule="auto"/>
        <w:ind w:left="426"/>
        <w:jc w:val="both"/>
        <w:rPr>
          <w:rFonts w:ascii="Arial" w:cs="Arial" w:eastAsia="Arial" w:hAnsi="Arial"/>
        </w:rPr>
      </w:pPr>
      <w:r w:rsidDel="00000000" w:rsidR="00000000" w:rsidRPr="00000000">
        <w:rPr>
          <w:rFonts w:ascii="Arial" w:cs="Arial" w:eastAsia="Arial" w:hAnsi="Arial"/>
          <w:rtl w:val="0"/>
        </w:rPr>
        <w:t xml:space="preserve">This policy and procedure details how a learner can appeal to the Centre if they are dissatisfied with any aspect of the assessment process.</w:t>
      </w:r>
    </w:p>
    <w:p w:rsidR="00000000" w:rsidDel="00000000" w:rsidP="00000000" w:rsidRDefault="00000000" w:rsidRPr="00000000" w14:paraId="0000004D">
      <w:pPr>
        <w:spacing w:after="0" w:lineRule="auto"/>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1"/>
          <w:numId w:val="3"/>
        </w:numPr>
        <w:spacing w:after="0" w:lineRule="auto"/>
        <w:ind w:left="426"/>
        <w:jc w:val="both"/>
        <w:rPr>
          <w:rFonts w:ascii="Arial" w:cs="Arial" w:eastAsia="Arial" w:hAnsi="Arial"/>
        </w:rPr>
      </w:pPr>
      <w:r w:rsidDel="00000000" w:rsidR="00000000" w:rsidRPr="00000000">
        <w:rPr>
          <w:rFonts w:ascii="Arial" w:cs="Arial" w:eastAsia="Arial" w:hAnsi="Arial"/>
          <w:rtl w:val="0"/>
        </w:rPr>
        <w:t xml:space="preserve">The purpose of this policy is to:</w:t>
      </w:r>
    </w:p>
    <w:p w:rsidR="00000000" w:rsidDel="00000000" w:rsidP="00000000" w:rsidRDefault="00000000" w:rsidRPr="00000000" w14:paraId="0000004F">
      <w:pPr>
        <w:spacing w:after="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0">
      <w:pPr>
        <w:numPr>
          <w:ilvl w:val="0"/>
          <w:numId w:val="5"/>
        </w:numPr>
        <w:spacing w:after="0" w:line="256" w:lineRule="auto"/>
        <w:ind w:left="1276" w:hanging="375.99999999999994"/>
        <w:jc w:val="both"/>
        <w:rPr>
          <w:rFonts w:ascii="Arial" w:cs="Arial" w:eastAsia="Arial" w:hAnsi="Arial"/>
        </w:rPr>
      </w:pPr>
      <w:r w:rsidDel="00000000" w:rsidR="00000000" w:rsidRPr="00000000">
        <w:rPr>
          <w:rFonts w:ascii="Arial" w:cs="Arial" w:eastAsia="Arial" w:hAnsi="Arial"/>
          <w:rtl w:val="0"/>
        </w:rPr>
        <w:t xml:space="preserve">Ensure that decisions made by assessors and IQAs at the Centre are applied fairly, consistently and based on valid judgements. </w:t>
      </w:r>
    </w:p>
    <w:p w:rsidR="00000000" w:rsidDel="00000000" w:rsidP="00000000" w:rsidRDefault="00000000" w:rsidRPr="00000000" w14:paraId="00000051">
      <w:pPr>
        <w:numPr>
          <w:ilvl w:val="0"/>
          <w:numId w:val="5"/>
        </w:numPr>
        <w:spacing w:after="0" w:line="256" w:lineRule="auto"/>
        <w:ind w:left="1276" w:hanging="375.99999999999994"/>
        <w:jc w:val="both"/>
        <w:rPr>
          <w:rFonts w:ascii="Arial" w:cs="Arial" w:eastAsia="Arial" w:hAnsi="Arial"/>
        </w:rPr>
      </w:pPr>
      <w:r w:rsidDel="00000000" w:rsidR="00000000" w:rsidRPr="00000000">
        <w:rPr>
          <w:rFonts w:ascii="Arial" w:cs="Arial" w:eastAsia="Arial" w:hAnsi="Arial"/>
          <w:rtl w:val="0"/>
        </w:rPr>
        <w:t xml:space="preserve">Outline the judgements or decisions made which can be appealed. </w:t>
      </w:r>
    </w:p>
    <w:p w:rsidR="00000000" w:rsidDel="00000000" w:rsidP="00000000" w:rsidRDefault="00000000" w:rsidRPr="00000000" w14:paraId="00000052">
      <w:pPr>
        <w:numPr>
          <w:ilvl w:val="0"/>
          <w:numId w:val="5"/>
        </w:numPr>
        <w:spacing w:after="0" w:line="256" w:lineRule="auto"/>
        <w:ind w:left="1276" w:hanging="375.99999999999994"/>
        <w:jc w:val="both"/>
        <w:rPr>
          <w:rFonts w:ascii="Arial" w:cs="Arial" w:eastAsia="Arial" w:hAnsi="Arial"/>
        </w:rPr>
      </w:pPr>
      <w:r w:rsidDel="00000000" w:rsidR="00000000" w:rsidRPr="00000000">
        <w:rPr>
          <w:rFonts w:ascii="Arial" w:cs="Arial" w:eastAsia="Arial" w:hAnsi="Arial"/>
          <w:rtl w:val="0"/>
        </w:rPr>
        <w:t xml:space="preserve">Outline the staged procedure for how an individual can appeal against an assessment decision or judgement and the centre's appeal process. </w:t>
      </w:r>
    </w:p>
    <w:p w:rsidR="00000000" w:rsidDel="00000000" w:rsidP="00000000" w:rsidRDefault="00000000" w:rsidRPr="00000000" w14:paraId="00000053">
      <w:pPr>
        <w:numPr>
          <w:ilvl w:val="0"/>
          <w:numId w:val="5"/>
        </w:numPr>
        <w:spacing w:after="0" w:line="256" w:lineRule="auto"/>
        <w:ind w:left="1276" w:hanging="375.99999999999994"/>
        <w:jc w:val="both"/>
        <w:rPr>
          <w:rFonts w:ascii="Arial" w:cs="Arial" w:eastAsia="Arial" w:hAnsi="Arial"/>
        </w:rPr>
      </w:pPr>
      <w:r w:rsidDel="00000000" w:rsidR="00000000" w:rsidRPr="00000000">
        <w:rPr>
          <w:rFonts w:ascii="Arial" w:cs="Arial" w:eastAsia="Arial" w:hAnsi="Arial"/>
          <w:rtl w:val="0"/>
        </w:rPr>
        <w:t xml:space="preserve">Outline the potential outcomes following an appeal.</w:t>
      </w:r>
    </w:p>
    <w:p w:rsidR="00000000" w:rsidDel="00000000" w:rsidP="00000000" w:rsidRDefault="00000000" w:rsidRPr="00000000" w14:paraId="00000054">
      <w:pPr>
        <w:numPr>
          <w:ilvl w:val="0"/>
          <w:numId w:val="5"/>
        </w:numPr>
        <w:spacing w:after="0" w:line="256" w:lineRule="auto"/>
        <w:ind w:left="1276" w:hanging="375.99999999999994"/>
        <w:jc w:val="both"/>
        <w:rPr>
          <w:rFonts w:ascii="Arial" w:cs="Arial" w:eastAsia="Arial" w:hAnsi="Arial"/>
        </w:rPr>
      </w:pPr>
      <w:r w:rsidDel="00000000" w:rsidR="00000000" w:rsidRPr="00000000">
        <w:rPr>
          <w:rFonts w:ascii="Arial" w:cs="Arial" w:eastAsia="Arial" w:hAnsi="Arial"/>
          <w:rtl w:val="0"/>
        </w:rPr>
        <w:t xml:space="preserve">State the options for a learner once the appeal process has concluded.</w:t>
      </w:r>
    </w:p>
    <w:p w:rsidR="00000000" w:rsidDel="00000000" w:rsidP="00000000" w:rsidRDefault="00000000" w:rsidRPr="00000000" w14:paraId="00000055">
      <w:pPr>
        <w:numPr>
          <w:ilvl w:val="0"/>
          <w:numId w:val="5"/>
        </w:numPr>
        <w:spacing w:after="0" w:line="256" w:lineRule="auto"/>
        <w:ind w:left="1276" w:hanging="375.99999999999994"/>
        <w:jc w:val="both"/>
        <w:rPr>
          <w:rFonts w:ascii="Arial" w:cs="Arial" w:eastAsia="Arial" w:hAnsi="Arial"/>
        </w:rPr>
      </w:pPr>
      <w:r w:rsidDel="00000000" w:rsidR="00000000" w:rsidRPr="00000000">
        <w:rPr>
          <w:rFonts w:ascii="Arial" w:cs="Arial" w:eastAsia="Arial" w:hAnsi="Arial"/>
          <w:rtl w:val="0"/>
        </w:rPr>
        <w:t xml:space="preserve">Satisfy</w:t>
      </w:r>
      <w:r w:rsidDel="00000000" w:rsidR="00000000" w:rsidRPr="00000000">
        <w:rPr>
          <w:rtl w:val="0"/>
        </w:rPr>
        <w:t xml:space="preserve"> </w:t>
      </w:r>
      <w:r w:rsidDel="00000000" w:rsidR="00000000" w:rsidRPr="00000000">
        <w:rPr>
          <w:rFonts w:ascii="Arial" w:cs="Arial" w:eastAsia="Arial" w:hAnsi="Arial"/>
          <w:rtl w:val="0"/>
        </w:rPr>
        <w:t xml:space="preserve">the requirements of the Awarding Organisation.</w:t>
      </w:r>
    </w:p>
    <w:p w:rsidR="00000000" w:rsidDel="00000000" w:rsidP="00000000" w:rsidRDefault="00000000" w:rsidRPr="00000000" w14:paraId="00000056">
      <w:pPr>
        <w:spacing w:after="0" w:before="120" w:line="250" w:lineRule="auto"/>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3"/>
        </w:numPr>
        <w:spacing w:after="0" w:lineRule="auto"/>
        <w:ind w:left="357"/>
        <w:rPr>
          <w:rFonts w:ascii="Arial Black" w:cs="Arial Black" w:eastAsia="Arial Black" w:hAnsi="Arial Black"/>
          <w:b w:val="1"/>
          <w:color w:val="7f6000"/>
        </w:rPr>
      </w:pPr>
      <w:bookmarkStart w:colFirst="0" w:colLast="0" w:name="_heading=h.eztc1ojlamzz" w:id="2"/>
      <w:bookmarkEnd w:id="2"/>
      <w:r w:rsidDel="00000000" w:rsidR="00000000" w:rsidRPr="00000000">
        <w:rPr>
          <w:rFonts w:ascii="Arial Black" w:cs="Arial Black" w:eastAsia="Arial Black" w:hAnsi="Arial Black"/>
          <w:b w:val="1"/>
          <w:color w:val="7f6000"/>
          <w:rtl w:val="0"/>
        </w:rPr>
        <w:t xml:space="preserve">Who is this policy for?</w:t>
      </w:r>
    </w:p>
    <w:p w:rsidR="00000000" w:rsidDel="00000000" w:rsidP="00000000" w:rsidRDefault="00000000" w:rsidRPr="00000000" w14:paraId="00000058">
      <w:pPr>
        <w:spacing w:after="0" w:lineRule="auto"/>
        <w:ind w:left="360" w:firstLine="0"/>
        <w:rPr>
          <w:rFonts w:ascii="Arial" w:cs="Arial" w:eastAsia="Arial" w:hAnsi="Arial"/>
          <w:b w:val="1"/>
          <w:color w:val="002b51"/>
          <w:sz w:val="16"/>
          <w:szCs w:val="16"/>
        </w:rPr>
      </w:pPr>
      <w:r w:rsidDel="00000000" w:rsidR="00000000" w:rsidRPr="00000000">
        <w:rPr>
          <w:rtl w:val="0"/>
        </w:rPr>
      </w:r>
    </w:p>
    <w:p w:rsidR="00000000" w:rsidDel="00000000" w:rsidP="00000000" w:rsidRDefault="00000000" w:rsidRPr="00000000" w14:paraId="00000059">
      <w:pPr>
        <w:numPr>
          <w:ilvl w:val="1"/>
          <w:numId w:val="4"/>
        </w:numPr>
        <w:spacing w:after="0" w:line="250" w:lineRule="auto"/>
        <w:ind w:left="432"/>
        <w:rPr>
          <w:rFonts w:ascii="Arial" w:cs="Arial" w:eastAsia="Arial" w:hAnsi="Arial"/>
        </w:rPr>
      </w:pPr>
      <w:r w:rsidDel="00000000" w:rsidR="00000000" w:rsidRPr="00000000">
        <w:rPr>
          <w:rFonts w:ascii="Arial" w:cs="Arial" w:eastAsia="Arial" w:hAnsi="Arial"/>
          <w:rtl w:val="0"/>
        </w:rPr>
        <w:t xml:space="preserve">The intended audience for this policy is:</w:t>
      </w:r>
    </w:p>
    <w:p w:rsidR="00000000" w:rsidDel="00000000" w:rsidP="00000000" w:rsidRDefault="00000000" w:rsidRPr="00000000" w14:paraId="0000005A">
      <w:pPr>
        <w:spacing w:after="0" w:line="250" w:lineRule="auto"/>
        <w:ind w:left="432"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B">
      <w:pPr>
        <w:numPr>
          <w:ilvl w:val="0"/>
          <w:numId w:val="1"/>
        </w:numPr>
        <w:spacing w:after="0" w:line="250" w:lineRule="auto"/>
        <w:ind w:left="1276" w:hanging="375.99999999999994"/>
        <w:rPr>
          <w:rFonts w:ascii="Arial" w:cs="Arial" w:eastAsia="Arial" w:hAnsi="Arial"/>
        </w:rPr>
      </w:pPr>
      <w:r w:rsidDel="00000000" w:rsidR="00000000" w:rsidRPr="00000000">
        <w:rPr>
          <w:rFonts w:ascii="Arial" w:cs="Arial" w:eastAsia="Arial" w:hAnsi="Arial"/>
          <w:rtl w:val="0"/>
        </w:rPr>
        <w:t xml:space="preserve">Learners/apprentices registered at the Centre.</w:t>
      </w:r>
    </w:p>
    <w:p w:rsidR="00000000" w:rsidDel="00000000" w:rsidP="00000000" w:rsidRDefault="00000000" w:rsidRPr="00000000" w14:paraId="0000005C">
      <w:pPr>
        <w:numPr>
          <w:ilvl w:val="0"/>
          <w:numId w:val="1"/>
        </w:numPr>
        <w:spacing w:after="0" w:line="250" w:lineRule="auto"/>
        <w:ind w:left="1276" w:hanging="375.99999999999994"/>
        <w:rPr>
          <w:rFonts w:ascii="Arial" w:cs="Arial" w:eastAsia="Arial" w:hAnsi="Arial"/>
        </w:rPr>
      </w:pPr>
      <w:r w:rsidDel="00000000" w:rsidR="00000000" w:rsidRPr="00000000">
        <w:rPr>
          <w:rFonts w:ascii="Arial" w:cs="Arial" w:eastAsia="Arial" w:hAnsi="Arial"/>
          <w:rtl w:val="0"/>
        </w:rPr>
        <w:t xml:space="preserve">Tutors, Assessors and IQAs and other delivery staff at the Centre.</w:t>
      </w:r>
    </w:p>
    <w:p w:rsidR="00000000" w:rsidDel="00000000" w:rsidP="00000000" w:rsidRDefault="00000000" w:rsidRPr="00000000" w14:paraId="0000005D">
      <w:pPr>
        <w:numPr>
          <w:ilvl w:val="0"/>
          <w:numId w:val="1"/>
        </w:numPr>
        <w:spacing w:after="0" w:line="250" w:lineRule="auto"/>
        <w:ind w:left="1276" w:hanging="375.99999999999994"/>
        <w:rPr>
          <w:rFonts w:ascii="Arial" w:cs="Arial" w:eastAsia="Arial" w:hAnsi="Arial"/>
        </w:rPr>
      </w:pPr>
      <w:r w:rsidDel="00000000" w:rsidR="00000000" w:rsidRPr="00000000">
        <w:rPr>
          <w:rFonts w:ascii="Arial" w:cs="Arial" w:eastAsia="Arial" w:hAnsi="Arial"/>
          <w:rtl w:val="0"/>
        </w:rPr>
        <w:t xml:space="preserve">The registered Awarding Organisation for the product being delivered.</w:t>
      </w:r>
    </w:p>
    <w:p w:rsidR="00000000" w:rsidDel="00000000" w:rsidP="00000000" w:rsidRDefault="00000000" w:rsidRPr="00000000" w14:paraId="0000005E">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5F">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Enquiries and Appeals Policy and Procedure</w:t>
      </w:r>
    </w:p>
    <w:p w:rsidR="00000000" w:rsidDel="00000000" w:rsidP="00000000" w:rsidRDefault="00000000" w:rsidRPr="00000000" w14:paraId="00000060">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spacing w:after="0" w:line="25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62">
      <w:pPr>
        <w:numPr>
          <w:ilvl w:val="0"/>
          <w:numId w:val="1"/>
        </w:numPr>
        <w:spacing w:after="0" w:line="250" w:lineRule="auto"/>
        <w:ind w:left="1276" w:hanging="375.99999999999994"/>
        <w:rPr>
          <w:rFonts w:ascii="Arial" w:cs="Arial" w:eastAsia="Arial" w:hAnsi="Arial"/>
        </w:rPr>
      </w:pPr>
      <w:r w:rsidDel="00000000" w:rsidR="00000000" w:rsidRPr="00000000">
        <w:rPr>
          <w:rFonts w:ascii="Arial" w:cs="Arial" w:eastAsia="Arial" w:hAnsi="Arial"/>
          <w:rtl w:val="0"/>
        </w:rPr>
        <w:t xml:space="preserve">Centre Managers and Senior Leadership Team</w:t>
      </w:r>
    </w:p>
    <w:p w:rsidR="00000000" w:rsidDel="00000000" w:rsidP="00000000" w:rsidRDefault="00000000" w:rsidRPr="00000000" w14:paraId="00000063">
      <w:pPr>
        <w:numPr>
          <w:ilvl w:val="0"/>
          <w:numId w:val="1"/>
        </w:numPr>
        <w:spacing w:after="0" w:line="250" w:lineRule="auto"/>
        <w:ind w:left="1276" w:hanging="375.99999999999994"/>
        <w:rPr>
          <w:rFonts w:ascii="Arial" w:cs="Arial" w:eastAsia="Arial" w:hAnsi="Arial"/>
          <w:u w:val="none"/>
        </w:rPr>
      </w:pPr>
      <w:r w:rsidDel="00000000" w:rsidR="00000000" w:rsidRPr="00000000">
        <w:rPr>
          <w:rFonts w:ascii="Arial" w:cs="Arial" w:eastAsia="Arial" w:hAnsi="Arial"/>
          <w:rtl w:val="0"/>
        </w:rPr>
        <w:t xml:space="preserve">Support Staff and Administrative Teams</w:t>
      </w:r>
    </w:p>
    <w:p w:rsidR="00000000" w:rsidDel="00000000" w:rsidP="00000000" w:rsidRDefault="00000000" w:rsidRPr="00000000" w14:paraId="00000064">
      <w:pPr>
        <w:numPr>
          <w:ilvl w:val="0"/>
          <w:numId w:val="1"/>
        </w:numPr>
        <w:spacing w:after="0" w:line="250" w:lineRule="auto"/>
        <w:ind w:left="1276" w:hanging="375.99999999999994"/>
        <w:rPr>
          <w:rFonts w:ascii="Arial" w:cs="Arial" w:eastAsia="Arial" w:hAnsi="Arial"/>
          <w:u w:val="none"/>
        </w:rPr>
      </w:pPr>
      <w:r w:rsidDel="00000000" w:rsidR="00000000" w:rsidRPr="00000000">
        <w:rPr>
          <w:rFonts w:ascii="Arial" w:cs="Arial" w:eastAsia="Arial" w:hAnsi="Arial"/>
          <w:rtl w:val="0"/>
        </w:rPr>
        <w:t xml:space="preserve">Learner Advocates or Representatives</w:t>
      </w:r>
    </w:p>
    <w:p w:rsidR="00000000" w:rsidDel="00000000" w:rsidP="00000000" w:rsidRDefault="00000000" w:rsidRPr="00000000" w14:paraId="00000065">
      <w:pPr>
        <w:spacing w:after="0" w:line="250" w:lineRule="auto"/>
        <w:ind w:left="432" w:firstLine="0"/>
        <w:rPr>
          <w:rFonts w:ascii="Arial" w:cs="Arial" w:eastAsia="Arial" w:hAnsi="Arial"/>
        </w:rPr>
      </w:pPr>
      <w:r w:rsidDel="00000000" w:rsidR="00000000" w:rsidRPr="00000000">
        <w:rPr>
          <w:rtl w:val="0"/>
        </w:rPr>
      </w:r>
    </w:p>
    <w:p w:rsidR="00000000" w:rsidDel="00000000" w:rsidP="00000000" w:rsidRDefault="00000000" w:rsidRPr="00000000" w14:paraId="00000066">
      <w:pPr>
        <w:numPr>
          <w:ilvl w:val="1"/>
          <w:numId w:val="4"/>
        </w:numPr>
        <w:spacing w:after="0" w:line="250" w:lineRule="auto"/>
        <w:ind w:left="432"/>
        <w:jc w:val="both"/>
        <w:rPr>
          <w:rFonts w:ascii="Arial" w:cs="Arial" w:eastAsia="Arial" w:hAnsi="Arial"/>
        </w:rPr>
      </w:pPr>
      <w:r w:rsidDel="00000000" w:rsidR="00000000" w:rsidRPr="00000000">
        <w:rPr>
          <w:rFonts w:ascii="Arial" w:cs="Arial" w:eastAsia="Arial" w:hAnsi="Arial"/>
          <w:rtl w:val="0"/>
        </w:rPr>
        <w:t xml:space="preserve">This policy and procedure is for a learner who wishes to appeal against a decision made by the Centre and for centre staff who may be involved in an appeals process. </w:t>
      </w:r>
    </w:p>
    <w:p w:rsidR="00000000" w:rsidDel="00000000" w:rsidP="00000000" w:rsidRDefault="00000000" w:rsidRPr="00000000" w14:paraId="00000067">
      <w:pPr>
        <w:spacing w:after="0" w:line="250" w:lineRule="auto"/>
        <w:ind w:left="432" w:firstLine="0"/>
        <w:rPr>
          <w:rFonts w:ascii="Arial" w:cs="Arial" w:eastAsia="Arial" w:hAnsi="Arial"/>
        </w:rPr>
      </w:pPr>
      <w:r w:rsidDel="00000000" w:rsidR="00000000" w:rsidRPr="00000000">
        <w:rPr>
          <w:rtl w:val="0"/>
        </w:rPr>
      </w:r>
    </w:p>
    <w:p w:rsidR="00000000" w:rsidDel="00000000" w:rsidP="00000000" w:rsidRDefault="00000000" w:rsidRPr="00000000" w14:paraId="00000068">
      <w:pPr>
        <w:numPr>
          <w:ilvl w:val="1"/>
          <w:numId w:val="4"/>
        </w:numPr>
        <w:spacing w:after="0" w:line="250" w:lineRule="auto"/>
        <w:ind w:left="432"/>
        <w:jc w:val="both"/>
        <w:rPr>
          <w:rFonts w:ascii="Arial" w:cs="Arial" w:eastAsia="Arial" w:hAnsi="Arial"/>
        </w:rPr>
      </w:pPr>
      <w:r w:rsidDel="00000000" w:rsidR="00000000" w:rsidRPr="00000000">
        <w:rPr>
          <w:rFonts w:ascii="Arial" w:cs="Arial" w:eastAsia="Arial" w:hAnsi="Arial"/>
          <w:rtl w:val="0"/>
        </w:rPr>
        <w:t xml:space="preserve">This policy and procedure is </w:t>
      </w:r>
      <w:r w:rsidDel="00000000" w:rsidR="00000000" w:rsidRPr="00000000">
        <w:rPr>
          <w:rFonts w:ascii="Arial" w:cs="Arial" w:eastAsia="Arial" w:hAnsi="Arial"/>
          <w:b w:val="1"/>
          <w:rtl w:val="0"/>
        </w:rPr>
        <w:t xml:space="preserve">not applicable</w:t>
      </w:r>
      <w:r w:rsidDel="00000000" w:rsidR="00000000" w:rsidRPr="00000000">
        <w:rPr>
          <w:rFonts w:ascii="Arial" w:cs="Arial" w:eastAsia="Arial" w:hAnsi="Arial"/>
          <w:rtl w:val="0"/>
        </w:rPr>
        <w:t xml:space="preserve"> if a learner wishes to make a complaint about the centre, an individual or any process used by the centre. If a learner wishes to make a complaint, they should refer to the Centre’s Complaints Policy and Procedure. </w:t>
      </w:r>
    </w:p>
    <w:p w:rsidR="00000000" w:rsidDel="00000000" w:rsidP="00000000" w:rsidRDefault="00000000" w:rsidRPr="00000000" w14:paraId="00000069">
      <w:pPr>
        <w:spacing w:after="0" w:line="250" w:lineRule="auto"/>
        <w:ind w:left="108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A">
      <w:pPr>
        <w:numPr>
          <w:ilvl w:val="0"/>
          <w:numId w:val="3"/>
        </w:numPr>
        <w:spacing w:after="0" w:lineRule="auto"/>
        <w:ind w:left="357"/>
        <w:rPr>
          <w:rFonts w:ascii="Arial Black" w:cs="Arial Black" w:eastAsia="Arial Black" w:hAnsi="Arial Black"/>
          <w:b w:val="1"/>
          <w:color w:val="7f6000"/>
        </w:rPr>
      </w:pPr>
      <w:bookmarkStart w:colFirst="0" w:colLast="0" w:name="_heading=h.fpmpqhdtgzb1" w:id="3"/>
      <w:bookmarkEnd w:id="3"/>
      <w:r w:rsidDel="00000000" w:rsidR="00000000" w:rsidRPr="00000000">
        <w:rPr>
          <w:rFonts w:ascii="Arial Black" w:cs="Arial Black" w:eastAsia="Arial Black" w:hAnsi="Arial Black"/>
          <w:b w:val="1"/>
          <w:color w:val="7f6000"/>
          <w:rtl w:val="0"/>
        </w:rPr>
        <w:t xml:space="preserve">Scope of an appeal</w:t>
      </w:r>
    </w:p>
    <w:p w:rsidR="00000000" w:rsidDel="00000000" w:rsidP="00000000" w:rsidRDefault="00000000" w:rsidRPr="00000000" w14:paraId="0000006B">
      <w:pPr>
        <w:spacing w:after="0" w:lineRule="auto"/>
        <w:ind w:left="360" w:firstLine="0"/>
        <w:rPr>
          <w:rFonts w:ascii="Arial" w:cs="Arial" w:eastAsia="Arial" w:hAnsi="Arial"/>
          <w:b w:val="1"/>
          <w:color w:val="002b51"/>
          <w:sz w:val="16"/>
          <w:szCs w:val="16"/>
        </w:rPr>
      </w:pPr>
      <w:r w:rsidDel="00000000" w:rsidR="00000000" w:rsidRPr="00000000">
        <w:rPr>
          <w:rtl w:val="0"/>
        </w:rPr>
      </w:r>
    </w:p>
    <w:p w:rsidR="00000000" w:rsidDel="00000000" w:rsidP="00000000" w:rsidRDefault="00000000" w:rsidRPr="00000000" w14:paraId="0000006C">
      <w:pPr>
        <w:numPr>
          <w:ilvl w:val="1"/>
          <w:numId w:val="2"/>
        </w:numPr>
        <w:spacing w:after="0" w:line="250" w:lineRule="auto"/>
        <w:ind w:left="432"/>
        <w:rPr>
          <w:rFonts w:ascii="Arial" w:cs="Arial" w:eastAsia="Arial" w:hAnsi="Arial"/>
        </w:rPr>
      </w:pPr>
      <w:r w:rsidDel="00000000" w:rsidR="00000000" w:rsidRPr="00000000">
        <w:rPr>
          <w:rFonts w:ascii="Arial" w:cs="Arial" w:eastAsia="Arial" w:hAnsi="Arial"/>
          <w:rtl w:val="0"/>
        </w:rPr>
        <w:t xml:space="preserve">Learners may wish to appeal about an assessment decision made by the Centre. For example:</w:t>
      </w:r>
    </w:p>
    <w:p w:rsidR="00000000" w:rsidDel="00000000" w:rsidP="00000000" w:rsidRDefault="00000000" w:rsidRPr="00000000" w14:paraId="0000006D">
      <w:pPr>
        <w:spacing w:after="0" w:line="250" w:lineRule="auto"/>
        <w:ind w:left="432" w:firstLine="0"/>
        <w:rPr>
          <w:rFonts w:ascii="Arial" w:cs="Arial" w:eastAsia="Arial" w:hAnsi="Arial"/>
        </w:rPr>
      </w:pPr>
      <w:r w:rsidDel="00000000" w:rsidR="00000000" w:rsidRPr="00000000">
        <w:rPr>
          <w:rtl w:val="0"/>
        </w:rPr>
      </w:r>
    </w:p>
    <w:p w:rsidR="00000000" w:rsidDel="00000000" w:rsidP="00000000" w:rsidRDefault="00000000" w:rsidRPr="00000000" w14:paraId="0000006E">
      <w:pPr>
        <w:numPr>
          <w:ilvl w:val="0"/>
          <w:numId w:val="6"/>
        </w:numPr>
        <w:spacing w:after="0" w:line="249" w:lineRule="auto"/>
        <w:ind w:left="1276" w:hanging="360"/>
        <w:rPr>
          <w:rFonts w:ascii="Arial" w:cs="Arial" w:eastAsia="Arial" w:hAnsi="Arial"/>
        </w:rPr>
      </w:pPr>
      <w:r w:rsidDel="00000000" w:rsidR="00000000" w:rsidRPr="00000000">
        <w:rPr>
          <w:rFonts w:ascii="Arial" w:cs="Arial" w:eastAsia="Arial" w:hAnsi="Arial"/>
          <w:rtl w:val="0"/>
        </w:rPr>
        <w:t xml:space="preserve">An examination result.</w:t>
      </w:r>
    </w:p>
    <w:p w:rsidR="00000000" w:rsidDel="00000000" w:rsidP="00000000" w:rsidRDefault="00000000" w:rsidRPr="00000000" w14:paraId="0000006F">
      <w:pPr>
        <w:numPr>
          <w:ilvl w:val="0"/>
          <w:numId w:val="6"/>
        </w:numPr>
        <w:spacing w:after="0" w:line="249" w:lineRule="auto"/>
        <w:ind w:left="1276" w:hanging="360"/>
        <w:rPr>
          <w:rFonts w:ascii="Arial" w:cs="Arial" w:eastAsia="Arial" w:hAnsi="Arial"/>
        </w:rPr>
      </w:pPr>
      <w:r w:rsidDel="00000000" w:rsidR="00000000" w:rsidRPr="00000000">
        <w:rPr>
          <w:rFonts w:ascii="Arial" w:cs="Arial" w:eastAsia="Arial" w:hAnsi="Arial"/>
          <w:rtl w:val="0"/>
        </w:rPr>
        <w:t xml:space="preserve">An assessment decision where the assessment has been carried out by a member of centre staff. </w:t>
      </w:r>
    </w:p>
    <w:p w:rsidR="00000000" w:rsidDel="00000000" w:rsidP="00000000" w:rsidRDefault="00000000" w:rsidRPr="00000000" w14:paraId="00000070">
      <w:pPr>
        <w:numPr>
          <w:ilvl w:val="0"/>
          <w:numId w:val="6"/>
        </w:numPr>
        <w:shd w:fill="ffffff" w:val="clear"/>
        <w:spacing w:after="0" w:line="256" w:lineRule="auto"/>
        <w:ind w:left="1276" w:hanging="360"/>
        <w:rPr>
          <w:rFonts w:ascii="Arial" w:cs="Arial" w:eastAsia="Arial" w:hAnsi="Arial"/>
        </w:rPr>
      </w:pPr>
      <w:r w:rsidDel="00000000" w:rsidR="00000000" w:rsidRPr="00000000">
        <w:rPr>
          <w:rFonts w:ascii="Arial" w:cs="Arial" w:eastAsia="Arial" w:hAnsi="Arial"/>
          <w:rtl w:val="0"/>
        </w:rPr>
        <w:t xml:space="preserve">The application by an awarding body of a sanction/action on a learner resulting from an investigation into malpractice or maladministration (appeals should be discussed with the Centre but made direct to the Awarding Organisation).</w:t>
      </w:r>
    </w:p>
    <w:p w:rsidR="00000000" w:rsidDel="00000000" w:rsidP="00000000" w:rsidRDefault="00000000" w:rsidRPr="00000000" w14:paraId="00000071">
      <w:pPr>
        <w:numPr>
          <w:ilvl w:val="0"/>
          <w:numId w:val="6"/>
        </w:numPr>
        <w:shd w:fill="ffffff" w:val="clear"/>
        <w:spacing w:after="0" w:line="256" w:lineRule="auto"/>
        <w:ind w:left="1276" w:hanging="360"/>
        <w:rPr>
          <w:rFonts w:ascii="Arial" w:cs="Arial" w:eastAsia="Arial" w:hAnsi="Arial"/>
        </w:rPr>
      </w:pPr>
      <w:r w:rsidDel="00000000" w:rsidR="00000000" w:rsidRPr="00000000">
        <w:rPr>
          <w:rFonts w:ascii="Arial" w:cs="Arial" w:eastAsia="Arial" w:hAnsi="Arial"/>
          <w:rtl w:val="0"/>
        </w:rPr>
        <w:t xml:space="preserve">A decision to amend a learner / set of learner’s results following a malpractice or malpractice investigation.</w:t>
      </w:r>
    </w:p>
    <w:p w:rsidR="00000000" w:rsidDel="00000000" w:rsidP="00000000" w:rsidRDefault="00000000" w:rsidRPr="00000000" w14:paraId="00000072">
      <w:pPr>
        <w:numPr>
          <w:ilvl w:val="0"/>
          <w:numId w:val="6"/>
        </w:numPr>
        <w:spacing w:after="0" w:line="249" w:lineRule="auto"/>
        <w:ind w:left="1276" w:hanging="360"/>
        <w:rPr>
          <w:rFonts w:ascii="Arial" w:cs="Arial" w:eastAsia="Arial" w:hAnsi="Arial"/>
        </w:rPr>
      </w:pPr>
      <w:r w:rsidDel="00000000" w:rsidR="00000000" w:rsidRPr="00000000">
        <w:rPr>
          <w:rFonts w:ascii="Arial" w:cs="Arial" w:eastAsia="Arial" w:hAnsi="Arial"/>
          <w:rtl w:val="0"/>
        </w:rPr>
        <w:t xml:space="preserve">An Awarding Organisation moderation or verification decision of a Centre marked assessment (appeals should be discussed with the Centre but made direct to the Awarding Organisation).</w:t>
      </w:r>
    </w:p>
    <w:p w:rsidR="00000000" w:rsidDel="00000000" w:rsidP="00000000" w:rsidRDefault="00000000" w:rsidRPr="00000000" w14:paraId="00000073">
      <w:pPr>
        <w:numPr>
          <w:ilvl w:val="0"/>
          <w:numId w:val="6"/>
        </w:numPr>
        <w:spacing w:after="0" w:line="249" w:lineRule="auto"/>
        <w:ind w:left="1276" w:hanging="360"/>
        <w:rPr>
          <w:rFonts w:ascii="Arial" w:cs="Arial" w:eastAsia="Arial" w:hAnsi="Arial"/>
        </w:rPr>
      </w:pPr>
      <w:r w:rsidDel="00000000" w:rsidR="00000000" w:rsidRPr="00000000">
        <w:rPr>
          <w:rFonts w:ascii="Arial" w:cs="Arial" w:eastAsia="Arial" w:hAnsi="Arial"/>
          <w:rtl w:val="0"/>
        </w:rPr>
        <w:t xml:space="preserve">A declined application for reasonable adjustment or special consideration. </w:t>
      </w:r>
    </w:p>
    <w:p w:rsidR="00000000" w:rsidDel="00000000" w:rsidP="00000000" w:rsidRDefault="00000000" w:rsidRPr="00000000" w14:paraId="00000074">
      <w:pPr>
        <w:numPr>
          <w:ilvl w:val="0"/>
          <w:numId w:val="6"/>
        </w:numPr>
        <w:spacing w:after="0" w:lineRule="auto"/>
        <w:ind w:left="1276" w:hanging="360"/>
        <w:jc w:val="both"/>
        <w:rPr>
          <w:rFonts w:ascii="Arial" w:cs="Arial" w:eastAsia="Arial" w:hAnsi="Arial"/>
        </w:rPr>
      </w:pPr>
      <w:r w:rsidDel="00000000" w:rsidR="00000000" w:rsidRPr="00000000">
        <w:rPr>
          <w:rFonts w:ascii="Arial" w:cs="Arial" w:eastAsia="Arial" w:hAnsi="Arial"/>
          <w:rtl w:val="0"/>
        </w:rPr>
        <w:t xml:space="preserve">Appeal against decisions relating to any action taken against a learner following an investigation into malpractice or maladministration by either NOCN or the Centre.</w:t>
      </w:r>
    </w:p>
    <w:p w:rsidR="00000000" w:rsidDel="00000000" w:rsidP="00000000" w:rsidRDefault="00000000" w:rsidRPr="00000000" w14:paraId="00000075">
      <w:pPr>
        <w:numPr>
          <w:ilvl w:val="0"/>
          <w:numId w:val="6"/>
        </w:numPr>
        <w:spacing w:after="0" w:lineRule="auto"/>
        <w:ind w:left="1276" w:hanging="360"/>
        <w:jc w:val="both"/>
        <w:rPr>
          <w:rFonts w:ascii="Arial" w:cs="Arial" w:eastAsia="Arial" w:hAnsi="Arial"/>
          <w:u w:val="none"/>
        </w:rPr>
      </w:pPr>
      <w:r w:rsidDel="00000000" w:rsidR="00000000" w:rsidRPr="00000000">
        <w:rPr>
          <w:rFonts w:ascii="Arial" w:cs="Arial" w:eastAsia="Arial" w:hAnsi="Arial"/>
          <w:rtl w:val="0"/>
        </w:rPr>
        <w:t xml:space="preserve">Appeal concerning failure to provide appropriate support for learners with SEND or learning differences.</w:t>
      </w:r>
    </w:p>
    <w:p w:rsidR="00000000" w:rsidDel="00000000" w:rsidP="00000000" w:rsidRDefault="00000000" w:rsidRPr="00000000" w14:paraId="00000076">
      <w:pPr>
        <w:numPr>
          <w:ilvl w:val="0"/>
          <w:numId w:val="6"/>
        </w:numPr>
        <w:spacing w:after="0" w:lineRule="auto"/>
        <w:ind w:left="1276" w:hanging="360"/>
        <w:jc w:val="both"/>
        <w:rPr>
          <w:rFonts w:ascii="Arial" w:cs="Arial" w:eastAsia="Arial" w:hAnsi="Arial"/>
          <w:u w:val="none"/>
        </w:rPr>
      </w:pPr>
      <w:r w:rsidDel="00000000" w:rsidR="00000000" w:rsidRPr="00000000">
        <w:rPr>
          <w:rFonts w:ascii="Arial" w:cs="Arial" w:eastAsia="Arial" w:hAnsi="Arial"/>
          <w:rtl w:val="0"/>
        </w:rPr>
        <w:t xml:space="preserve">Appeal relating to the fairness or consistency of internal marking or feedback.</w:t>
      </w:r>
    </w:p>
    <w:p w:rsidR="00000000" w:rsidDel="00000000" w:rsidP="00000000" w:rsidRDefault="00000000" w:rsidRPr="00000000" w14:paraId="00000077">
      <w:pPr>
        <w:numPr>
          <w:ilvl w:val="0"/>
          <w:numId w:val="6"/>
        </w:numPr>
        <w:spacing w:after="0" w:lineRule="auto"/>
        <w:ind w:left="1276" w:hanging="360"/>
        <w:jc w:val="both"/>
        <w:rPr>
          <w:rFonts w:ascii="Arial" w:cs="Arial" w:eastAsia="Arial" w:hAnsi="Arial"/>
          <w:u w:val="none"/>
        </w:rPr>
      </w:pPr>
      <w:r w:rsidDel="00000000" w:rsidR="00000000" w:rsidRPr="00000000">
        <w:rPr>
          <w:rFonts w:ascii="Arial" w:cs="Arial" w:eastAsia="Arial" w:hAnsi="Arial"/>
          <w:rtl w:val="0"/>
        </w:rPr>
        <w:t xml:space="preserve">Appeal following withdrawal or expulsion from a course.</w:t>
      </w:r>
    </w:p>
    <w:p w:rsidR="00000000" w:rsidDel="00000000" w:rsidP="00000000" w:rsidRDefault="00000000" w:rsidRPr="00000000" w14:paraId="00000078">
      <w:pPr>
        <w:numPr>
          <w:ilvl w:val="0"/>
          <w:numId w:val="6"/>
        </w:numPr>
        <w:spacing w:after="0" w:lineRule="auto"/>
        <w:ind w:left="1276" w:hanging="360"/>
        <w:jc w:val="both"/>
        <w:rPr>
          <w:rFonts w:ascii="Arial" w:cs="Arial" w:eastAsia="Arial" w:hAnsi="Arial"/>
          <w:u w:val="none"/>
        </w:rPr>
      </w:pPr>
      <w:r w:rsidDel="00000000" w:rsidR="00000000" w:rsidRPr="00000000">
        <w:rPr>
          <w:rFonts w:ascii="Arial" w:cs="Arial" w:eastAsia="Arial" w:hAnsi="Arial"/>
          <w:rtl w:val="0"/>
        </w:rPr>
        <w:t xml:space="preserve">Appeal regarding procedural irregularities in the conduct of assessments.</w:t>
      </w:r>
    </w:p>
    <w:p w:rsidR="00000000" w:rsidDel="00000000" w:rsidP="00000000" w:rsidRDefault="00000000" w:rsidRPr="00000000" w14:paraId="00000079">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7D">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Enquiries and Appeals Policy and Procedure</w:t>
      </w:r>
    </w:p>
    <w:p w:rsidR="00000000" w:rsidDel="00000000" w:rsidP="00000000" w:rsidRDefault="00000000" w:rsidRPr="00000000" w14:paraId="0000007E">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spacing w:after="0" w:line="250" w:lineRule="auto"/>
        <w:ind w:left="43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numPr>
          <w:ilvl w:val="1"/>
          <w:numId w:val="2"/>
        </w:numPr>
        <w:spacing w:after="0" w:line="250" w:lineRule="auto"/>
        <w:ind w:left="432"/>
        <w:rPr>
          <w:rFonts w:ascii="Arial" w:cs="Arial" w:eastAsia="Arial" w:hAnsi="Arial"/>
        </w:rPr>
      </w:pPr>
      <w:r w:rsidDel="00000000" w:rsidR="00000000" w:rsidRPr="00000000">
        <w:rPr>
          <w:rFonts w:ascii="Arial" w:cs="Arial" w:eastAsia="Arial" w:hAnsi="Arial"/>
          <w:rtl w:val="0"/>
        </w:rPr>
        <w:t xml:space="preserve">Where a decision is made directly by the Awarding Organisation, the learner may be required to appeal to them directly. Please contact the Centre for advice.</w:t>
      </w:r>
    </w:p>
    <w:p w:rsidR="00000000" w:rsidDel="00000000" w:rsidP="00000000" w:rsidRDefault="00000000" w:rsidRPr="00000000" w14:paraId="00000081">
      <w:pPr>
        <w:spacing w:after="0" w:line="250" w:lineRule="auto"/>
        <w:ind w:left="432" w:firstLine="0"/>
        <w:rPr>
          <w:rFonts w:ascii="Arial" w:cs="Arial" w:eastAsia="Arial" w:hAnsi="Arial"/>
          <w:color w:val="7f6000"/>
          <w:sz w:val="32"/>
          <w:szCs w:val="32"/>
        </w:rPr>
      </w:pPr>
      <w:r w:rsidDel="00000000" w:rsidR="00000000" w:rsidRPr="00000000">
        <w:rPr>
          <w:rtl w:val="0"/>
        </w:rPr>
      </w:r>
    </w:p>
    <w:p w:rsidR="00000000" w:rsidDel="00000000" w:rsidP="00000000" w:rsidRDefault="00000000" w:rsidRPr="00000000" w14:paraId="00000082">
      <w:pPr>
        <w:numPr>
          <w:ilvl w:val="0"/>
          <w:numId w:val="3"/>
        </w:numPr>
        <w:spacing w:after="0" w:lineRule="auto"/>
        <w:ind w:left="357"/>
        <w:rPr>
          <w:rFonts w:ascii="Arial Black" w:cs="Arial Black" w:eastAsia="Arial Black" w:hAnsi="Arial Black"/>
          <w:b w:val="1"/>
          <w:color w:val="7f6000"/>
        </w:rPr>
      </w:pPr>
      <w:bookmarkStart w:colFirst="0" w:colLast="0" w:name="_heading=h.j3fjsyvc34ao" w:id="4"/>
      <w:bookmarkEnd w:id="4"/>
      <w:r w:rsidDel="00000000" w:rsidR="00000000" w:rsidRPr="00000000">
        <w:rPr>
          <w:rFonts w:ascii="Arial Black" w:cs="Arial Black" w:eastAsia="Arial Black" w:hAnsi="Arial Black"/>
          <w:b w:val="1"/>
          <w:color w:val="7f6000"/>
          <w:rtl w:val="0"/>
        </w:rPr>
        <w:t xml:space="preserve">The Appeals Process</w:t>
      </w:r>
    </w:p>
    <w:p w:rsidR="00000000" w:rsidDel="00000000" w:rsidP="00000000" w:rsidRDefault="00000000" w:rsidRPr="00000000" w14:paraId="00000083">
      <w:pPr>
        <w:spacing w:after="0" w:lineRule="auto"/>
        <w:ind w:left="360" w:firstLine="0"/>
        <w:rPr>
          <w:rFonts w:ascii="Arial" w:cs="Arial" w:eastAsia="Arial" w:hAnsi="Arial"/>
          <w:b w:val="1"/>
          <w:color w:val="002b51"/>
          <w:sz w:val="16"/>
          <w:szCs w:val="16"/>
        </w:rPr>
      </w:pPr>
      <w:r w:rsidDel="00000000" w:rsidR="00000000" w:rsidRPr="00000000">
        <w:rPr>
          <w:rtl w:val="0"/>
        </w:rPr>
      </w:r>
    </w:p>
    <w:p w:rsidR="00000000" w:rsidDel="00000000" w:rsidP="00000000" w:rsidRDefault="00000000" w:rsidRPr="00000000" w14:paraId="00000084">
      <w:pPr>
        <w:numPr>
          <w:ilvl w:val="1"/>
          <w:numId w:val="8"/>
        </w:numPr>
        <w:spacing w:after="0" w:line="250" w:lineRule="auto"/>
        <w:ind w:left="432"/>
        <w:rPr>
          <w:rFonts w:ascii="Arial" w:cs="Arial" w:eastAsia="Arial" w:hAnsi="Arial"/>
        </w:rPr>
      </w:pPr>
      <w:r w:rsidDel="00000000" w:rsidR="00000000" w:rsidRPr="00000000">
        <w:rPr>
          <w:rFonts w:ascii="Arial" w:cs="Arial" w:eastAsia="Arial" w:hAnsi="Arial"/>
          <w:rtl w:val="0"/>
        </w:rPr>
        <w:t xml:space="preserve">The Centre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rtl w:val="0"/>
        </w:rPr>
        <w:t xml:space="preserve">has a three stage appeal process in place:</w:t>
      </w:r>
    </w:p>
    <w:p w:rsidR="00000000" w:rsidDel="00000000" w:rsidP="00000000" w:rsidRDefault="00000000" w:rsidRPr="00000000" w14:paraId="00000085">
      <w:pPr>
        <w:spacing w:after="0" w:line="250" w:lineRule="auto"/>
        <w:ind w:left="432" w:firstLine="0"/>
        <w:rPr>
          <w:rFonts w:ascii="Arial" w:cs="Arial" w:eastAsia="Arial" w:hAnsi="Arial"/>
        </w:rPr>
      </w:pPr>
      <w:r w:rsidDel="00000000" w:rsidR="00000000" w:rsidRPr="00000000">
        <w:rPr>
          <w:rtl w:val="0"/>
        </w:rPr>
      </w:r>
    </w:p>
    <w:p w:rsidR="00000000" w:rsidDel="00000000" w:rsidP="00000000" w:rsidRDefault="00000000" w:rsidRPr="00000000" w14:paraId="00000086">
      <w:pPr>
        <w:numPr>
          <w:ilvl w:val="1"/>
          <w:numId w:val="8"/>
        </w:numPr>
        <w:spacing w:after="0" w:line="250" w:lineRule="auto"/>
        <w:ind w:left="432"/>
        <w:jc w:val="both"/>
        <w:rPr>
          <w:rFonts w:ascii="Arial" w:cs="Arial" w:eastAsia="Arial" w:hAnsi="Arial"/>
        </w:rPr>
      </w:pPr>
      <w:r w:rsidDel="00000000" w:rsidR="00000000" w:rsidRPr="00000000">
        <w:rPr>
          <w:rFonts w:ascii="Arial" w:cs="Arial" w:eastAsia="Arial" w:hAnsi="Arial"/>
          <w:b w:val="1"/>
          <w:rtl w:val="0"/>
        </w:rPr>
        <w:t xml:space="preserve">Stage 1 - Enquiry</w:t>
      </w:r>
      <w:r w:rsidDel="00000000" w:rsidR="00000000" w:rsidRPr="00000000">
        <w:rPr>
          <w:rFonts w:ascii="Arial" w:cs="Arial" w:eastAsia="Arial" w:hAnsi="Arial"/>
          <w:rtl w:val="0"/>
        </w:rPr>
        <w:t xml:space="preserve">. Learners are encouraged to discuss the issue with their tutor/assessor in the first instance within </w:t>
      </w:r>
      <w:r w:rsidDel="00000000" w:rsidR="00000000" w:rsidRPr="00000000">
        <w:rPr>
          <w:rFonts w:ascii="Arial" w:cs="Arial" w:eastAsia="Arial" w:hAnsi="Arial"/>
          <w:b w:val="1"/>
          <w:rtl w:val="0"/>
        </w:rPr>
        <w:t xml:space="preserve">3 working days</w:t>
      </w:r>
      <w:r w:rsidDel="00000000" w:rsidR="00000000" w:rsidRPr="00000000">
        <w:rPr>
          <w:rFonts w:ascii="Arial" w:cs="Arial" w:eastAsia="Arial" w:hAnsi="Arial"/>
          <w:rtl w:val="0"/>
        </w:rPr>
        <w:t xml:space="preserve"> of receipt of the assessment decision, to attempt to resolve it informally. It is possible for there to be an immediate resolution to the issue once it has been raised in this way. At this stage, formal appeal procedures do not apply, but may allow for the enquiry to be resolved without the formal appeals process being followed. </w:t>
      </w:r>
    </w:p>
    <w:p w:rsidR="00000000" w:rsidDel="00000000" w:rsidP="00000000" w:rsidRDefault="00000000" w:rsidRPr="00000000" w14:paraId="00000087">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8">
      <w:pPr>
        <w:numPr>
          <w:ilvl w:val="1"/>
          <w:numId w:val="8"/>
        </w:numPr>
        <w:spacing w:after="0" w:line="250" w:lineRule="auto"/>
        <w:ind w:left="432"/>
        <w:jc w:val="both"/>
        <w:rPr>
          <w:rFonts w:ascii="Arial" w:cs="Arial" w:eastAsia="Arial" w:hAnsi="Arial"/>
        </w:rPr>
      </w:pPr>
      <w:r w:rsidDel="00000000" w:rsidR="00000000" w:rsidRPr="00000000">
        <w:rPr>
          <w:rFonts w:ascii="Arial" w:cs="Arial" w:eastAsia="Arial" w:hAnsi="Arial"/>
          <w:b w:val="1"/>
          <w:rtl w:val="0"/>
        </w:rPr>
        <w:t xml:space="preserve">Stage 2 – Appeal.</w:t>
      </w:r>
      <w:r w:rsidDel="00000000" w:rsidR="00000000" w:rsidRPr="00000000">
        <w:rPr>
          <w:rFonts w:ascii="Arial" w:cs="Arial" w:eastAsia="Arial" w:hAnsi="Arial"/>
          <w:rtl w:val="0"/>
        </w:rPr>
        <w:t xml:space="preserve"> If the learner is dissatisfied with the informal approach, they must submit their appeal in writing to </w:t>
      </w:r>
      <w:r w:rsidDel="00000000" w:rsidR="00000000" w:rsidRPr="00000000">
        <w:rPr>
          <w:rFonts w:ascii="Arial" w:cs="Arial" w:eastAsia="Arial" w:hAnsi="Arial"/>
          <w:b w:val="1"/>
          <w:rtl w:val="0"/>
        </w:rPr>
        <w:t xml:space="preserve">IQA</w:t>
      </w:r>
      <w:r w:rsidDel="00000000" w:rsidR="00000000" w:rsidRPr="00000000">
        <w:rPr>
          <w:rFonts w:ascii="Arial" w:cs="Arial" w:eastAsia="Arial" w:hAnsi="Arial"/>
          <w:b w:val="1"/>
          <w:color w:val="0070c0"/>
          <w:rtl w:val="0"/>
        </w:rPr>
        <w:t xml:space="preserve"> </w:t>
      </w:r>
      <w:r w:rsidDel="00000000" w:rsidR="00000000" w:rsidRPr="00000000">
        <w:rPr>
          <w:rFonts w:ascii="Arial" w:cs="Arial" w:eastAsia="Arial" w:hAnsi="Arial"/>
          <w:b w:val="1"/>
          <w:rtl w:val="0"/>
        </w:rPr>
        <w:t xml:space="preserve">within 5 working days</w:t>
      </w:r>
      <w:r w:rsidDel="00000000" w:rsidR="00000000" w:rsidRPr="00000000">
        <w:rPr>
          <w:rFonts w:ascii="Arial" w:cs="Arial" w:eastAsia="Arial" w:hAnsi="Arial"/>
          <w:rtl w:val="0"/>
        </w:rPr>
        <w:t xml:space="preserve"> of the date of the assessment decision. The appeal will be recorded on the Centres systems and investigated by the </w:t>
      </w:r>
      <w:r w:rsidDel="00000000" w:rsidR="00000000" w:rsidRPr="00000000">
        <w:rPr>
          <w:rFonts w:ascii="Arial" w:cs="Arial" w:eastAsia="Arial" w:hAnsi="Arial"/>
          <w:b w:val="1"/>
          <w:rtl w:val="0"/>
        </w:rPr>
        <w:t xml:space="preserve">IQA.</w:t>
      </w:r>
      <w:r w:rsidDel="00000000" w:rsidR="00000000" w:rsidRPr="00000000">
        <w:rPr>
          <w:rFonts w:ascii="Arial" w:cs="Arial" w:eastAsia="Arial" w:hAnsi="Arial"/>
          <w:rtl w:val="0"/>
        </w:rPr>
        <w:t xml:space="preserve"> The IQA can be contacted through one of the following methods:</w:t>
      </w:r>
    </w:p>
    <w:p w:rsidR="00000000" w:rsidDel="00000000" w:rsidP="00000000" w:rsidRDefault="00000000" w:rsidRPr="00000000" w14:paraId="00000089">
      <w:pPr>
        <w:spacing w:after="240" w:before="240" w:lin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Call: 0161 637 5960</w:t>
      </w:r>
    </w:p>
    <w:p w:rsidR="00000000" w:rsidDel="00000000" w:rsidP="00000000" w:rsidRDefault="00000000" w:rsidRPr="00000000" w14:paraId="0000008A">
      <w:pPr>
        <w:spacing w:after="240" w:before="240" w:line="240" w:lineRule="auto"/>
        <w:jc w:val="both"/>
        <w:rPr>
          <w:rFonts w:ascii="Arial" w:cs="Arial" w:eastAsia="Arial" w:hAnsi="Arial"/>
          <w:b w:val="1"/>
          <w:i w:val="1"/>
        </w:rPr>
      </w:pPr>
      <w:r w:rsidDel="00000000" w:rsidR="00000000" w:rsidRPr="00000000">
        <w:rPr>
          <w:rFonts w:ascii="Arial" w:cs="Arial" w:eastAsia="Arial" w:hAnsi="Arial"/>
          <w:b w:val="1"/>
          <w:rtl w:val="0"/>
        </w:rPr>
        <w:t xml:space="preserve">       Email: </w:t>
      </w:r>
      <w:hyperlink r:id="rId7">
        <w:r w:rsidDel="00000000" w:rsidR="00000000" w:rsidRPr="00000000">
          <w:rPr>
            <w:rFonts w:ascii="Arial" w:cs="Arial" w:eastAsia="Arial" w:hAnsi="Arial"/>
            <w:b w:val="1"/>
            <w:i w:val="1"/>
            <w:color w:val="1155cc"/>
            <w:u w:val="single"/>
            <w:rtl w:val="0"/>
          </w:rPr>
          <w:t xml:space="preserve">a.m@nottinghillcollege.net</w:t>
        </w:r>
      </w:hyperlink>
      <w:r w:rsidDel="00000000" w:rsidR="00000000" w:rsidRPr="00000000">
        <w:rPr>
          <w:rtl w:val="0"/>
        </w:rPr>
      </w:r>
    </w:p>
    <w:p w:rsidR="00000000" w:rsidDel="00000000" w:rsidP="00000000" w:rsidRDefault="00000000" w:rsidRPr="00000000" w14:paraId="0000008B">
      <w:pPr>
        <w:spacing w:after="240" w:before="240" w:line="240" w:lineRule="auto"/>
        <w:jc w:val="both"/>
        <w:rPr>
          <w:rFonts w:ascii="Arial" w:cs="Arial" w:eastAsia="Arial" w:hAnsi="Arial"/>
        </w:rPr>
      </w:pPr>
      <w:r w:rsidDel="00000000" w:rsidR="00000000" w:rsidRPr="00000000">
        <w:rPr>
          <w:rFonts w:ascii="Arial" w:cs="Arial" w:eastAsia="Arial" w:hAnsi="Arial"/>
          <w:b w:val="1"/>
          <w:rtl w:val="0"/>
        </w:rPr>
        <w:t xml:space="preserve">       Write to: Amira Madkour</w:t>
      </w:r>
      <w:r w:rsidDel="00000000" w:rsidR="00000000" w:rsidRPr="00000000">
        <w:rPr>
          <w:rtl w:val="0"/>
        </w:rPr>
      </w:r>
    </w:p>
    <w:p w:rsidR="00000000" w:rsidDel="00000000" w:rsidP="00000000" w:rsidRDefault="00000000" w:rsidRPr="00000000" w14:paraId="0000008C">
      <w:pPr>
        <w:numPr>
          <w:ilvl w:val="1"/>
          <w:numId w:val="8"/>
        </w:numPr>
        <w:spacing w:after="0" w:line="250" w:lineRule="auto"/>
        <w:ind w:left="432"/>
        <w:jc w:val="both"/>
        <w:rPr>
          <w:rFonts w:ascii="Arial" w:cs="Arial" w:eastAsia="Arial" w:hAnsi="Arial"/>
        </w:rPr>
      </w:pPr>
      <w:r w:rsidDel="00000000" w:rsidR="00000000" w:rsidRPr="00000000">
        <w:rPr>
          <w:rFonts w:ascii="Arial" w:cs="Arial" w:eastAsia="Arial" w:hAnsi="Arial"/>
          <w:rtl w:val="0"/>
        </w:rPr>
        <w:t xml:space="preserve">The investigating member of staff will have </w:t>
      </w:r>
      <w:r w:rsidDel="00000000" w:rsidR="00000000" w:rsidRPr="00000000">
        <w:rPr>
          <w:rFonts w:ascii="Arial" w:cs="Arial" w:eastAsia="Arial" w:hAnsi="Arial"/>
          <w:b w:val="1"/>
          <w:rtl w:val="0"/>
        </w:rPr>
        <w:t xml:space="preserve">5 working days</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rtl w:val="0"/>
        </w:rPr>
        <w:t xml:space="preserve">to investigate the issue and come to a resolution. The learner will be informed of the outcome in writing. At this stage, the learner is encouraged to refer to the Awarding Organisation’s own appeals policy, usually found on their website.</w:t>
      </w:r>
    </w:p>
    <w:p w:rsidR="00000000" w:rsidDel="00000000" w:rsidP="00000000" w:rsidRDefault="00000000" w:rsidRPr="00000000" w14:paraId="0000008D">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1"/>
          <w:numId w:val="8"/>
        </w:numPr>
        <w:spacing w:after="0" w:line="250" w:lineRule="auto"/>
        <w:ind w:left="432"/>
        <w:jc w:val="both"/>
        <w:rPr>
          <w:rFonts w:ascii="Arial" w:cs="Arial" w:eastAsia="Arial" w:hAnsi="Arial"/>
        </w:rPr>
      </w:pPr>
      <w:r w:rsidDel="00000000" w:rsidR="00000000" w:rsidRPr="00000000">
        <w:rPr>
          <w:rFonts w:ascii="Arial" w:cs="Arial" w:eastAsia="Arial" w:hAnsi="Arial"/>
          <w:b w:val="1"/>
          <w:rtl w:val="0"/>
        </w:rPr>
        <w:t xml:space="preserve">Stage 3 - Escalation</w:t>
      </w:r>
      <w:r w:rsidDel="00000000" w:rsidR="00000000" w:rsidRPr="00000000">
        <w:rPr>
          <w:rFonts w:ascii="Arial" w:cs="Arial" w:eastAsia="Arial" w:hAnsi="Arial"/>
          <w:rtl w:val="0"/>
        </w:rPr>
        <w:t xml:space="preserve">. If the learner is still dissatisfied with the outcome, they may then escalate the appeal to the Centre’s </w:t>
      </w:r>
      <w:r w:rsidDel="00000000" w:rsidR="00000000" w:rsidRPr="00000000">
        <w:rPr>
          <w:rFonts w:ascii="Arial" w:cs="Arial" w:eastAsia="Arial" w:hAnsi="Arial"/>
          <w:b w:val="1"/>
          <w:rtl w:val="0"/>
        </w:rPr>
        <w:t xml:space="preserve">Customer Service Manager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within 3 working days</w:t>
      </w:r>
      <w:r w:rsidDel="00000000" w:rsidR="00000000" w:rsidRPr="00000000">
        <w:rPr>
          <w:rFonts w:ascii="Arial" w:cs="Arial" w:eastAsia="Arial" w:hAnsi="Arial"/>
          <w:rtl w:val="0"/>
        </w:rPr>
        <w:t xml:space="preserve"> of receipt of the outcome at Stage 2. The individual will then investigate the issue. They will have </w:t>
      </w:r>
      <w:r w:rsidDel="00000000" w:rsidR="00000000" w:rsidRPr="00000000">
        <w:rPr>
          <w:rFonts w:ascii="Arial" w:cs="Arial" w:eastAsia="Arial" w:hAnsi="Arial"/>
          <w:b w:val="1"/>
          <w:rtl w:val="0"/>
        </w:rPr>
        <w:t xml:space="preserve">5 working days </w:t>
      </w:r>
      <w:r w:rsidDel="00000000" w:rsidR="00000000" w:rsidRPr="00000000">
        <w:rPr>
          <w:rFonts w:ascii="Arial" w:cs="Arial" w:eastAsia="Arial" w:hAnsi="Arial"/>
          <w:rtl w:val="0"/>
        </w:rPr>
        <w:t xml:space="preserve">to conclude the investigation and inform the learner in writing of the outcome. The Customer Service Manager can be contacted using the following:</w:t>
      </w:r>
    </w:p>
    <w:p w:rsidR="00000000" w:rsidDel="00000000" w:rsidP="00000000" w:rsidRDefault="00000000" w:rsidRPr="00000000" w14:paraId="0000008F">
      <w:pPr>
        <w:spacing w:after="0" w:line="250" w:lineRule="auto"/>
        <w:ind w:left="79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91">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Enquiries and Appeals Policy and Procedure</w:t>
      </w:r>
    </w:p>
    <w:p w:rsidR="00000000" w:rsidDel="00000000" w:rsidP="00000000" w:rsidRDefault="00000000" w:rsidRPr="00000000" w14:paraId="00000092">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spacing w:after="0" w:line="250" w:lineRule="auto"/>
        <w:ind w:left="79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        Call: 0161 877 1316</w:t>
      </w:r>
    </w:p>
    <w:p w:rsidR="00000000" w:rsidDel="00000000" w:rsidP="00000000" w:rsidRDefault="00000000" w:rsidRPr="00000000" w14:paraId="00000095">
      <w:pPr>
        <w:spacing w:after="0" w:line="240" w:lineRule="auto"/>
        <w:ind w:left="79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6">
      <w:pPr>
        <w:spacing w:after="0" w:line="240" w:lineRule="auto"/>
        <w:ind w:left="0" w:firstLine="0"/>
        <w:jc w:val="both"/>
        <w:rPr>
          <w:rFonts w:ascii="Arial" w:cs="Arial" w:eastAsia="Arial" w:hAnsi="Arial"/>
          <w:b w:val="1"/>
          <w:i w:val="1"/>
        </w:rPr>
      </w:pPr>
      <w:r w:rsidDel="00000000" w:rsidR="00000000" w:rsidRPr="00000000">
        <w:rPr>
          <w:rFonts w:ascii="Arial" w:cs="Arial" w:eastAsia="Arial" w:hAnsi="Arial"/>
          <w:b w:val="1"/>
          <w:rtl w:val="0"/>
        </w:rPr>
        <w:t xml:space="preserve">        E-mail: </w:t>
      </w:r>
      <w:hyperlink r:id="rId8">
        <w:r w:rsidDel="00000000" w:rsidR="00000000" w:rsidRPr="00000000">
          <w:rPr>
            <w:rFonts w:ascii="Arial" w:cs="Arial" w:eastAsia="Arial" w:hAnsi="Arial"/>
            <w:b w:val="1"/>
            <w:i w:val="1"/>
            <w:color w:val="1155cc"/>
            <w:u w:val="single"/>
            <w:rtl w:val="0"/>
          </w:rPr>
          <w:t xml:space="preserve">gabrielle.hargreaves@nottinghillcollege.net</w:t>
        </w:r>
      </w:hyperlink>
      <w:r w:rsidDel="00000000" w:rsidR="00000000" w:rsidRPr="00000000">
        <w:rPr>
          <w:rtl w:val="0"/>
        </w:rPr>
      </w:r>
    </w:p>
    <w:p w:rsidR="00000000" w:rsidDel="00000000" w:rsidP="00000000" w:rsidRDefault="00000000" w:rsidRPr="00000000" w14:paraId="00000097">
      <w:pPr>
        <w:spacing w:after="0" w:line="240" w:lineRule="auto"/>
        <w:ind w:left="79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8">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        Write to: Gabrielle Hargreaves </w:t>
      </w:r>
    </w:p>
    <w:p w:rsidR="00000000" w:rsidDel="00000000" w:rsidP="00000000" w:rsidRDefault="00000000" w:rsidRPr="00000000" w14:paraId="00000099">
      <w:pPr>
        <w:spacing w:after="0" w:line="25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A">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B">
      <w:pPr>
        <w:numPr>
          <w:ilvl w:val="1"/>
          <w:numId w:val="8"/>
        </w:numPr>
        <w:spacing w:after="0" w:line="250" w:lineRule="auto"/>
        <w:ind w:left="432"/>
        <w:jc w:val="both"/>
        <w:rPr>
          <w:rFonts w:ascii="Arial" w:cs="Arial" w:eastAsia="Arial" w:hAnsi="Arial"/>
        </w:rPr>
      </w:pPr>
      <w:r w:rsidDel="00000000" w:rsidR="00000000" w:rsidRPr="00000000">
        <w:rPr>
          <w:rFonts w:ascii="Arial" w:cs="Arial" w:eastAsia="Arial" w:hAnsi="Arial"/>
          <w:rtl w:val="0"/>
        </w:rPr>
        <w:t xml:space="preserve">Any timescales may be extended if the issue is complex and wide ranging, and the Centre is able to justify any reasonable delay. This will be confirmed to the learner in writing.</w:t>
      </w:r>
    </w:p>
    <w:p w:rsidR="00000000" w:rsidDel="00000000" w:rsidP="00000000" w:rsidRDefault="00000000" w:rsidRPr="00000000" w14:paraId="0000009C">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D">
      <w:pPr>
        <w:numPr>
          <w:ilvl w:val="1"/>
          <w:numId w:val="8"/>
        </w:numPr>
        <w:spacing w:after="0" w:line="250" w:lineRule="auto"/>
        <w:ind w:left="432"/>
        <w:jc w:val="both"/>
        <w:rPr>
          <w:rFonts w:ascii="Arial" w:cs="Arial" w:eastAsia="Arial" w:hAnsi="Arial"/>
        </w:rPr>
      </w:pPr>
      <w:r w:rsidDel="00000000" w:rsidR="00000000" w:rsidRPr="00000000">
        <w:rPr>
          <w:rFonts w:ascii="Arial" w:cs="Arial" w:eastAsia="Arial" w:hAnsi="Arial"/>
          <w:rtl w:val="0"/>
        </w:rPr>
        <w:t xml:space="preserve">At each stage of the appeals process, the learner will receive a formal acknowledgement within </w:t>
      </w:r>
      <w:r w:rsidDel="00000000" w:rsidR="00000000" w:rsidRPr="00000000">
        <w:rPr>
          <w:rFonts w:ascii="Arial" w:cs="Arial" w:eastAsia="Arial" w:hAnsi="Arial"/>
          <w:b w:val="1"/>
          <w:rtl w:val="0"/>
        </w:rPr>
        <w:t xml:space="preserve">2 working days</w:t>
      </w:r>
      <w:r w:rsidDel="00000000" w:rsidR="00000000" w:rsidRPr="00000000">
        <w:rPr>
          <w:rFonts w:ascii="Arial" w:cs="Arial" w:eastAsia="Arial" w:hAnsi="Arial"/>
          <w:rtl w:val="0"/>
        </w:rPr>
        <w:t xml:space="preserve"> of receipt. At this stage, the Centre will confirm whether the appeal is in or out of scope of this policy and procedure.</w:t>
      </w:r>
    </w:p>
    <w:p w:rsidR="00000000" w:rsidDel="00000000" w:rsidP="00000000" w:rsidRDefault="00000000" w:rsidRPr="00000000" w14:paraId="0000009E">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F">
      <w:pPr>
        <w:numPr>
          <w:ilvl w:val="1"/>
          <w:numId w:val="8"/>
        </w:numPr>
        <w:spacing w:after="0" w:line="250" w:lineRule="auto"/>
        <w:ind w:left="432"/>
        <w:jc w:val="both"/>
        <w:rPr>
          <w:rFonts w:ascii="Arial" w:cs="Arial" w:eastAsia="Arial" w:hAnsi="Arial"/>
        </w:rPr>
      </w:pPr>
      <w:r w:rsidDel="00000000" w:rsidR="00000000" w:rsidRPr="00000000">
        <w:rPr>
          <w:rFonts w:ascii="Arial" w:cs="Arial" w:eastAsia="Arial" w:hAnsi="Arial"/>
          <w:rtl w:val="0"/>
        </w:rPr>
        <w:t xml:space="preserve">If the learner is still dissatisfied with the outcome of Stage 3 then they may appeal to the awarding organisation directly for the qualification they are undertaking. Details of the relevant awarding organisation can be provided by </w:t>
      </w:r>
      <w:r w:rsidDel="00000000" w:rsidR="00000000" w:rsidRPr="00000000">
        <w:rPr>
          <w:rFonts w:ascii="Arial" w:cs="Arial" w:eastAsia="Arial" w:hAnsi="Arial"/>
          <w:b w:val="1"/>
          <w:rtl w:val="0"/>
        </w:rPr>
        <w:t xml:space="preserve">Tamara Wilson tamara.wilson@nottinghillcollege.net.</w:t>
      </w:r>
      <w:r w:rsidDel="00000000" w:rsidR="00000000" w:rsidRPr="00000000">
        <w:rPr>
          <w:rtl w:val="0"/>
        </w:rPr>
      </w:r>
    </w:p>
    <w:p w:rsidR="00000000" w:rsidDel="00000000" w:rsidP="00000000" w:rsidRDefault="00000000" w:rsidRPr="00000000" w14:paraId="000000A0">
      <w:pPr>
        <w:spacing w:after="0" w:lineRule="auto"/>
        <w:ind w:left="360" w:firstLine="0"/>
        <w:rPr>
          <w:rFonts w:ascii="Arial Black" w:cs="Arial Black" w:eastAsia="Arial Black" w:hAnsi="Arial Black"/>
          <w:b w:val="1"/>
          <w:color w:val="7f6000"/>
        </w:rPr>
      </w:pPr>
      <w:r w:rsidDel="00000000" w:rsidR="00000000" w:rsidRPr="00000000">
        <w:rPr>
          <w:rtl w:val="0"/>
        </w:rPr>
      </w:r>
    </w:p>
    <w:p w:rsidR="00000000" w:rsidDel="00000000" w:rsidP="00000000" w:rsidRDefault="00000000" w:rsidRPr="00000000" w14:paraId="000000A1">
      <w:pPr>
        <w:numPr>
          <w:ilvl w:val="0"/>
          <w:numId w:val="3"/>
        </w:numPr>
        <w:spacing w:after="0" w:lineRule="auto"/>
        <w:ind w:left="357"/>
        <w:rPr>
          <w:rFonts w:ascii="Arial Black" w:cs="Arial Black" w:eastAsia="Arial Black" w:hAnsi="Arial Black"/>
          <w:b w:val="1"/>
          <w:color w:val="7f6000"/>
        </w:rPr>
      </w:pPr>
      <w:bookmarkStart w:colFirst="0" w:colLast="0" w:name="_heading=h.v52py6yunr4r" w:id="5"/>
      <w:bookmarkEnd w:id="5"/>
      <w:r w:rsidDel="00000000" w:rsidR="00000000" w:rsidRPr="00000000">
        <w:rPr>
          <w:rFonts w:ascii="Arial Black" w:cs="Arial Black" w:eastAsia="Arial Black" w:hAnsi="Arial Black"/>
          <w:b w:val="1"/>
          <w:color w:val="7f6000"/>
          <w:rtl w:val="0"/>
        </w:rPr>
        <w:t xml:space="preserve">Potential Outcomes of an Appeal</w:t>
      </w:r>
    </w:p>
    <w:p w:rsidR="00000000" w:rsidDel="00000000" w:rsidP="00000000" w:rsidRDefault="00000000" w:rsidRPr="00000000" w14:paraId="000000A2">
      <w:pPr>
        <w:spacing w:after="0" w:lineRule="auto"/>
        <w:ind w:left="357" w:firstLine="0"/>
        <w:rPr>
          <w:rFonts w:ascii="Arial Black" w:cs="Arial Black" w:eastAsia="Arial Black" w:hAnsi="Arial Black"/>
          <w:b w:val="1"/>
          <w:color w:val="002b51"/>
          <w:sz w:val="16"/>
          <w:szCs w:val="16"/>
        </w:rPr>
      </w:pPr>
      <w:r w:rsidDel="00000000" w:rsidR="00000000" w:rsidRPr="00000000">
        <w:rPr>
          <w:rtl w:val="0"/>
        </w:rPr>
      </w:r>
    </w:p>
    <w:p w:rsidR="00000000" w:rsidDel="00000000" w:rsidP="00000000" w:rsidRDefault="00000000" w:rsidRPr="00000000" w14:paraId="000000A3">
      <w:pPr>
        <w:numPr>
          <w:ilvl w:val="1"/>
          <w:numId w:val="3"/>
        </w:numPr>
        <w:spacing w:after="0" w:line="250" w:lineRule="auto"/>
        <w:ind w:left="426" w:hanging="432"/>
        <w:rPr>
          <w:rFonts w:ascii="Arial" w:cs="Arial" w:eastAsia="Arial" w:hAnsi="Arial"/>
        </w:rPr>
      </w:pPr>
      <w:r w:rsidDel="00000000" w:rsidR="00000000" w:rsidRPr="00000000">
        <w:rPr>
          <w:rFonts w:ascii="Arial" w:cs="Arial" w:eastAsia="Arial" w:hAnsi="Arial"/>
          <w:rtl w:val="0"/>
        </w:rPr>
        <w:t xml:space="preserve">There are a number of potential outcomes of an appeal:</w:t>
      </w:r>
    </w:p>
    <w:p w:rsidR="00000000" w:rsidDel="00000000" w:rsidP="00000000" w:rsidRDefault="00000000" w:rsidRPr="00000000" w14:paraId="000000A4">
      <w:pPr>
        <w:spacing w:after="0" w:line="250" w:lineRule="auto"/>
        <w:ind w:left="426"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5">
      <w:pPr>
        <w:numPr>
          <w:ilvl w:val="0"/>
          <w:numId w:val="7"/>
        </w:numPr>
        <w:spacing w:after="0" w:line="256" w:lineRule="auto"/>
        <w:ind w:left="1260" w:hanging="360"/>
        <w:jc w:val="both"/>
        <w:rPr>
          <w:rFonts w:ascii="Arial" w:cs="Arial" w:eastAsia="Arial" w:hAnsi="Arial"/>
        </w:rPr>
      </w:pPr>
      <w:r w:rsidDel="00000000" w:rsidR="00000000" w:rsidRPr="00000000">
        <w:rPr>
          <w:rFonts w:ascii="Arial" w:cs="Arial" w:eastAsia="Arial" w:hAnsi="Arial"/>
          <w:rtl w:val="0"/>
        </w:rPr>
        <w:t xml:space="preserve">Confirmation of the original decision  </w:t>
      </w:r>
    </w:p>
    <w:p w:rsidR="00000000" w:rsidDel="00000000" w:rsidP="00000000" w:rsidRDefault="00000000" w:rsidRPr="00000000" w14:paraId="000000A6">
      <w:pPr>
        <w:numPr>
          <w:ilvl w:val="0"/>
          <w:numId w:val="7"/>
        </w:numPr>
        <w:spacing w:after="0" w:line="256" w:lineRule="auto"/>
        <w:ind w:left="1260" w:hanging="360"/>
        <w:jc w:val="both"/>
        <w:rPr>
          <w:rFonts w:ascii="Arial" w:cs="Arial" w:eastAsia="Arial" w:hAnsi="Arial"/>
        </w:rPr>
      </w:pPr>
      <w:r w:rsidDel="00000000" w:rsidR="00000000" w:rsidRPr="00000000">
        <w:rPr>
          <w:rFonts w:ascii="Arial" w:cs="Arial" w:eastAsia="Arial" w:hAnsi="Arial"/>
          <w:rtl w:val="0"/>
        </w:rPr>
        <w:t xml:space="preserve">The competence be re-assessed by the same or a different assessor.</w:t>
      </w:r>
    </w:p>
    <w:p w:rsidR="00000000" w:rsidDel="00000000" w:rsidP="00000000" w:rsidRDefault="00000000" w:rsidRPr="00000000" w14:paraId="000000A7">
      <w:pPr>
        <w:numPr>
          <w:ilvl w:val="0"/>
          <w:numId w:val="7"/>
        </w:numPr>
        <w:spacing w:after="0" w:line="256" w:lineRule="auto"/>
        <w:ind w:left="1260" w:hanging="360"/>
        <w:jc w:val="both"/>
        <w:rPr>
          <w:rFonts w:ascii="Arial" w:cs="Arial" w:eastAsia="Arial" w:hAnsi="Arial"/>
        </w:rPr>
      </w:pPr>
      <w:r w:rsidDel="00000000" w:rsidR="00000000" w:rsidRPr="00000000">
        <w:rPr>
          <w:rFonts w:ascii="Arial" w:cs="Arial" w:eastAsia="Arial" w:hAnsi="Arial"/>
          <w:rtl w:val="0"/>
        </w:rPr>
        <w:t xml:space="preserve">A judgement that the evidence presented is an adequate demonstration of competence and a recommendation that the assessment decision be reconsidered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8">
      <w:pPr>
        <w:numPr>
          <w:ilvl w:val="0"/>
          <w:numId w:val="7"/>
        </w:numPr>
        <w:spacing w:after="0" w:line="256" w:lineRule="auto"/>
        <w:ind w:left="1260" w:hanging="360"/>
        <w:jc w:val="both"/>
        <w:rPr>
          <w:rFonts w:ascii="Arial" w:cs="Arial" w:eastAsia="Arial" w:hAnsi="Arial"/>
        </w:rPr>
      </w:pPr>
      <w:r w:rsidDel="00000000" w:rsidR="00000000" w:rsidRPr="00000000">
        <w:rPr>
          <w:rFonts w:ascii="Arial" w:cs="Arial" w:eastAsia="Arial" w:hAnsi="Arial"/>
          <w:rtl w:val="0"/>
        </w:rPr>
        <w:t xml:space="preserve">Amendment of the original decision.</w:t>
      </w:r>
    </w:p>
    <w:p w:rsidR="00000000" w:rsidDel="00000000" w:rsidP="00000000" w:rsidRDefault="00000000" w:rsidRPr="00000000" w14:paraId="000000A9">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A">
      <w:pPr>
        <w:numPr>
          <w:ilvl w:val="1"/>
          <w:numId w:val="3"/>
        </w:numPr>
        <w:spacing w:after="0" w:before="120" w:line="250" w:lineRule="auto"/>
        <w:ind w:left="426" w:hanging="432"/>
        <w:rPr>
          <w:rFonts w:ascii="Arial" w:cs="Arial" w:eastAsia="Arial" w:hAnsi="Arial"/>
        </w:rPr>
      </w:pPr>
      <w:r w:rsidDel="00000000" w:rsidR="00000000" w:rsidRPr="00000000">
        <w:rPr>
          <w:rFonts w:ascii="Arial" w:cs="Arial" w:eastAsia="Arial" w:hAnsi="Arial"/>
          <w:rtl w:val="0"/>
        </w:rPr>
        <w:t xml:space="preserve">Where an appeal may affect other learners, the Centre will investigate these and inform the awarding organisation of any risks or issues in relation to Centre delivery.</w:t>
      </w:r>
    </w:p>
    <w:p w:rsidR="00000000" w:rsidDel="00000000" w:rsidP="00000000" w:rsidRDefault="00000000" w:rsidRPr="00000000" w14:paraId="000000AB">
      <w:pPr>
        <w:spacing w:after="0" w:line="250" w:lineRule="auto"/>
        <w:ind w:left="426"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C">
      <w:pPr>
        <w:spacing w:after="0" w:line="250" w:lineRule="auto"/>
        <w:ind w:left="426"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D">
      <w:pPr>
        <w:spacing w:after="0" w:line="250" w:lineRule="auto"/>
        <w:ind w:left="426"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E">
      <w:pPr>
        <w:spacing w:after="0" w:line="250" w:lineRule="auto"/>
        <w:ind w:left="426"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F">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B0">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Enquiries and Appeals Policy and Procedure</w:t>
      </w:r>
    </w:p>
    <w:p w:rsidR="00000000" w:rsidDel="00000000" w:rsidP="00000000" w:rsidRDefault="00000000" w:rsidRPr="00000000" w14:paraId="000000B1">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spacing w:after="0" w:line="250" w:lineRule="auto"/>
        <w:ind w:left="426"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3">
      <w:pPr>
        <w:numPr>
          <w:ilvl w:val="0"/>
          <w:numId w:val="3"/>
        </w:numPr>
        <w:spacing w:after="0" w:lineRule="auto"/>
        <w:ind w:left="357"/>
        <w:rPr>
          <w:rFonts w:ascii="Arial Black" w:cs="Arial Black" w:eastAsia="Arial Black" w:hAnsi="Arial Black"/>
          <w:b w:val="1"/>
          <w:color w:val="7f6000"/>
        </w:rPr>
      </w:pPr>
      <w:bookmarkStart w:colFirst="0" w:colLast="0" w:name="_heading=h.1x6l32mkeenh" w:id="6"/>
      <w:bookmarkEnd w:id="6"/>
      <w:r w:rsidDel="00000000" w:rsidR="00000000" w:rsidRPr="00000000">
        <w:rPr>
          <w:rFonts w:ascii="Arial Black" w:cs="Arial Black" w:eastAsia="Arial Black" w:hAnsi="Arial Black"/>
          <w:b w:val="1"/>
          <w:color w:val="7f6000"/>
          <w:rtl w:val="0"/>
        </w:rPr>
        <w:t xml:space="preserve">Version History</w:t>
      </w:r>
    </w:p>
    <w:p w:rsidR="00000000" w:rsidDel="00000000" w:rsidP="00000000" w:rsidRDefault="00000000" w:rsidRPr="00000000" w14:paraId="000000B4">
      <w:pPr>
        <w:spacing w:after="0" w:line="250" w:lineRule="auto"/>
        <w:ind w:left="432" w:firstLine="0"/>
        <w:rPr>
          <w:rFonts w:ascii="Arial" w:cs="Arial" w:eastAsia="Arial" w:hAnsi="Arial"/>
          <w:color w:val="7f6000"/>
        </w:rPr>
      </w:pPr>
      <w:r w:rsidDel="00000000" w:rsidR="00000000" w:rsidRPr="00000000">
        <w:rPr>
          <w:rtl w:val="0"/>
        </w:rPr>
      </w:r>
    </w:p>
    <w:tbl>
      <w:tblPr>
        <w:tblStyle w:val="Table3"/>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1650"/>
        <w:gridCol w:w="5085"/>
        <w:gridCol w:w="1815"/>
        <w:tblGridChange w:id="0">
          <w:tblGrid>
            <w:gridCol w:w="1365"/>
            <w:gridCol w:w="1650"/>
            <w:gridCol w:w="5085"/>
            <w:gridCol w:w="1815"/>
          </w:tblGrid>
        </w:tblGridChange>
      </w:tblGrid>
      <w:tr>
        <w:trPr>
          <w:cantSplit w:val="0"/>
          <w:trHeight w:val="374" w:hRule="atLeast"/>
          <w:tblHeader w:val="0"/>
        </w:trPr>
        <w:tc>
          <w:tcPr>
            <w:shd w:fill="e6dab5" w:val="clear"/>
            <w:vAlign w:val="center"/>
          </w:tcPr>
          <w:p w:rsidR="00000000" w:rsidDel="00000000" w:rsidP="00000000" w:rsidRDefault="00000000" w:rsidRPr="00000000" w14:paraId="000000B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Version</w:t>
            </w:r>
          </w:p>
        </w:tc>
        <w:tc>
          <w:tcPr>
            <w:shd w:fill="e6dab5" w:val="clear"/>
            <w:vAlign w:val="center"/>
          </w:tcPr>
          <w:p w:rsidR="00000000" w:rsidDel="00000000" w:rsidP="00000000" w:rsidRDefault="00000000" w:rsidRPr="00000000" w14:paraId="000000B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Published</w:t>
            </w:r>
          </w:p>
        </w:tc>
        <w:tc>
          <w:tcPr>
            <w:shd w:fill="e6dab5" w:val="clear"/>
            <w:vAlign w:val="center"/>
          </w:tcPr>
          <w:p w:rsidR="00000000" w:rsidDel="00000000" w:rsidP="00000000" w:rsidRDefault="00000000" w:rsidRPr="00000000" w14:paraId="000000B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Changes Made</w:t>
            </w:r>
          </w:p>
        </w:tc>
        <w:tc>
          <w:tcPr>
            <w:shd w:fill="e6dab5" w:val="clear"/>
            <w:vAlign w:val="center"/>
          </w:tcPr>
          <w:p w:rsidR="00000000" w:rsidDel="00000000" w:rsidP="00000000" w:rsidRDefault="00000000" w:rsidRPr="00000000" w14:paraId="000000B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off by</w:t>
            </w:r>
          </w:p>
        </w:tc>
      </w:tr>
      <w:tr>
        <w:trPr>
          <w:cantSplit w:val="0"/>
          <w:trHeight w:val="454" w:hRule="atLeast"/>
          <w:tblHeader w:val="0"/>
        </w:trPr>
        <w:tc>
          <w:tcPr>
            <w:vAlign w:val="center"/>
          </w:tcPr>
          <w:p w:rsidR="00000000" w:rsidDel="00000000" w:rsidP="00000000" w:rsidRDefault="00000000" w:rsidRPr="00000000" w14:paraId="000000B9">
            <w:pPr>
              <w:spacing w:before="120" w:lineRule="auto"/>
              <w:rPr>
                <w:rFonts w:ascii="Arial" w:cs="Arial" w:eastAsia="Arial" w:hAnsi="Arial"/>
                <w:sz w:val="24"/>
                <w:szCs w:val="24"/>
              </w:rPr>
            </w:pPr>
            <w:r w:rsidDel="00000000" w:rsidR="00000000" w:rsidRPr="00000000">
              <w:rPr>
                <w:rFonts w:ascii="Arial" w:cs="Arial" w:eastAsia="Arial" w:hAnsi="Arial"/>
                <w:rtl w:val="0"/>
              </w:rPr>
              <w:t xml:space="preserve">EAPV2025</w:t>
            </w:r>
            <w:r w:rsidDel="00000000" w:rsidR="00000000" w:rsidRPr="00000000">
              <w:rPr>
                <w:rtl w:val="0"/>
              </w:rPr>
            </w:r>
          </w:p>
        </w:tc>
        <w:tc>
          <w:tcPr>
            <w:vAlign w:val="center"/>
          </w:tcPr>
          <w:p w:rsidR="00000000" w:rsidDel="00000000" w:rsidP="00000000" w:rsidRDefault="00000000" w:rsidRPr="00000000" w14:paraId="000000BA">
            <w:pPr>
              <w:spacing w:before="120" w:lineRule="auto"/>
              <w:rPr>
                <w:rFonts w:ascii="Arial" w:cs="Arial" w:eastAsia="Arial" w:hAnsi="Arial"/>
                <w:sz w:val="24"/>
                <w:szCs w:val="24"/>
              </w:rPr>
            </w:pPr>
            <w:r w:rsidDel="00000000" w:rsidR="00000000" w:rsidRPr="00000000">
              <w:rPr>
                <w:rFonts w:ascii="Arial" w:cs="Arial" w:eastAsia="Arial" w:hAnsi="Arial"/>
                <w:rtl w:val="0"/>
              </w:rPr>
              <w:t xml:space="preserve">16 May 2025</w:t>
            </w:r>
            <w:r w:rsidDel="00000000" w:rsidR="00000000" w:rsidRPr="00000000">
              <w:rPr>
                <w:rtl w:val="0"/>
              </w:rPr>
            </w:r>
          </w:p>
        </w:tc>
        <w:tc>
          <w:tcPr>
            <w:vAlign w:val="center"/>
          </w:tcPr>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BC">
            <w:pPr>
              <w:spacing w:before="120" w:lineRule="auto"/>
              <w:rPr>
                <w:rFonts w:ascii="Arial" w:cs="Arial" w:eastAsia="Arial" w:hAnsi="Arial"/>
                <w:sz w:val="24"/>
                <w:szCs w:val="24"/>
              </w:rPr>
            </w:pPr>
            <w:r w:rsidDel="00000000" w:rsidR="00000000" w:rsidRPr="00000000">
              <w:rPr>
                <w:rFonts w:ascii="Arial" w:cs="Arial" w:eastAsia="Arial" w:hAnsi="Arial"/>
                <w:rtl w:val="0"/>
              </w:rPr>
              <w:t xml:space="preserve">Iryna Hurkova</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BE">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3">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4">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C5">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7">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8">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C9">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A">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B">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CC">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D">
      <w:pPr>
        <w:spacing w:after="0" w:before="120" w:line="250" w:lineRule="auto"/>
        <w:rPr>
          <w:rFonts w:ascii="Arial" w:cs="Arial" w:eastAsia="Arial" w:hAnsi="Arial"/>
          <w:color w:val="002b51"/>
        </w:rPr>
      </w:pPr>
      <w:r w:rsidDel="00000000" w:rsidR="00000000" w:rsidRPr="00000000">
        <w:rPr>
          <w:rtl w:val="0"/>
        </w:rPr>
      </w:r>
    </w:p>
    <w:p w:rsidR="00000000" w:rsidDel="00000000" w:rsidP="00000000" w:rsidRDefault="00000000" w:rsidRPr="00000000" w14:paraId="000000CE">
      <w:pPr>
        <w:spacing w:after="120" w:before="120" w:lineRule="auto"/>
        <w:rPr/>
      </w:pPr>
      <w:r w:rsidDel="00000000" w:rsidR="00000000" w:rsidRPr="00000000">
        <w:rPr>
          <w:rtl w:val="0"/>
        </w:rPr>
      </w:r>
    </w:p>
    <w:p w:rsidR="00000000" w:rsidDel="00000000" w:rsidP="00000000" w:rsidRDefault="00000000" w:rsidRPr="00000000" w14:paraId="000000CF">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0">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1">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2">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3">
      <w:pPr>
        <w:spacing w:after="0" w:line="240" w:lineRule="auto"/>
        <w:ind w:left="36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4">
      <w:pPr>
        <w:widowControl w:val="0"/>
        <w:spacing w:after="0" w:line="276"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5">
      <w:pPr>
        <w:spacing w:after="240" w:before="240" w:line="276" w:lineRule="auto"/>
        <w:jc w:val="center"/>
        <w:rPr>
          <w:rFonts w:ascii="Arial" w:cs="Arial" w:eastAsia="Arial" w:hAnsi="Arial"/>
          <w:b w:val="1"/>
          <w:sz w:val="34"/>
          <w:szCs w:val="34"/>
        </w:rPr>
      </w:pPr>
      <w:r w:rsidDel="00000000" w:rsidR="00000000" w:rsidRPr="00000000">
        <w:rPr>
          <w:rtl w:val="0"/>
        </w:rPr>
      </w:r>
    </w:p>
    <w:sectPr>
      <w:headerReference r:id="rId9" w:type="default"/>
      <w:footerReference r:id="rId10" w:type="default"/>
      <w:pgSz w:h="16838" w:w="11906" w:orient="portrait"/>
      <w:pgMar w:bottom="2551.181102362205" w:top="2551.181102362205"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tabs>
        <w:tab w:val="center" w:leader="none" w:pos="4513"/>
        <w:tab w:val="right" w:leader="none" w:pos="9026"/>
      </w:tabs>
      <w:spacing w:after="0" w:lin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9385300</wp:posOffset>
              </wp:positionV>
              <wp:extent cx="3667760" cy="290830"/>
              <wp:effectExtent b="0" l="0" r="0" t="0"/>
              <wp:wrapNone/>
              <wp:docPr id="51" name=""/>
              <a:graphic>
                <a:graphicData uri="http://schemas.microsoft.com/office/word/2010/wordprocessingShape">
                  <wps:wsp>
                    <wps:cNvSpPr/>
                    <wps:cNvPr id="2" name="Shape 2"/>
                    <wps:spPr>
                      <a:xfrm>
                        <a:off x="3540695" y="3663160"/>
                        <a:ext cx="3610610" cy="233680"/>
                      </a:xfrm>
                      <a:prstGeom prst="rect">
                        <a:avLst/>
                      </a:prstGeom>
                      <a:solidFill>
                        <a:schemeClr val="lt1"/>
                      </a:solid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aramond" w:cs="Garamond" w:eastAsia="Garamond" w:hAnsi="Garamond"/>
                              <w:b w:val="0"/>
                              <w:i w:val="0"/>
                              <w:smallCaps w:val="0"/>
                              <w:strike w:val="0"/>
                              <w:color w:val="e40038"/>
                              <w:sz w:val="14"/>
                              <w:vertAlign w:val="baseline"/>
                            </w:rPr>
                            <w:t xml:space="preserve"> PAGE   \* MERGEFORMAT 2 | ©Peninsula Business Services Limited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9385300</wp:posOffset>
              </wp:positionV>
              <wp:extent cx="3667760" cy="290830"/>
              <wp:effectExtent b="0" l="0" r="0" t="0"/>
              <wp:wrapNone/>
              <wp:docPr id="5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67760" cy="29083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-915819</wp:posOffset>
          </wp:positionH>
          <wp:positionV relativeFrom="paragraph">
            <wp:posOffset>-914393</wp:posOffset>
          </wp:positionV>
          <wp:extent cx="7562850" cy="1620611"/>
          <wp:effectExtent b="0" l="0" r="0" t="0"/>
          <wp:wrapNone/>
          <wp:docPr descr="Footer-02" id="53" name="image2.png"/>
          <a:graphic>
            <a:graphicData uri="http://schemas.openxmlformats.org/drawingml/2006/picture">
              <pic:pic>
                <pic:nvPicPr>
                  <pic:cNvPr descr="Footer-02" id="0" name="image2.png"/>
                  <pic:cNvPicPr preferRelativeResize="0"/>
                </pic:nvPicPr>
                <pic:blipFill>
                  <a:blip r:embed="rId2"/>
                  <a:srcRect b="0" l="0" r="0" t="0"/>
                  <a:stretch>
                    <a:fillRect/>
                  </a:stretch>
                </pic:blipFill>
                <pic:spPr>
                  <a:xfrm>
                    <a:off x="0" y="0"/>
                    <a:ext cx="7562850" cy="162061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rPr/>
    </w:pPr>
    <w:r w:rsidDel="00000000" w:rsidR="00000000" w:rsidRPr="00000000">
      <w:rPr/>
      <w:drawing>
        <wp:anchor allowOverlap="1" behindDoc="1" distB="0" distT="0" distL="0" distR="0" hidden="0" layoutInCell="1" locked="0" relativeHeight="0" simplePos="0">
          <wp:simplePos x="0" y="0"/>
          <wp:positionH relativeFrom="page">
            <wp:posOffset>190500</wp:posOffset>
          </wp:positionH>
          <wp:positionV relativeFrom="page">
            <wp:posOffset>-369563</wp:posOffset>
          </wp:positionV>
          <wp:extent cx="7560310" cy="1816100"/>
          <wp:effectExtent b="0" l="0" r="0" t="0"/>
          <wp:wrapNone/>
          <wp:docPr id="5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310" cy="1816100"/>
                  </a:xfrm>
                  <a:prstGeom prst="rect"/>
                  <a:ln/>
                </pic:spPr>
              </pic:pic>
            </a:graphicData>
          </a:graphic>
        </wp:anchor>
      </w:drawing>
    </w:r>
    <w:r w:rsidDel="00000000" w:rsidR="00000000" w:rsidRPr="00000000">
      <w:rPr>
        <w:rtl w:val="0"/>
      </w:rPr>
    </w:r>
  </w:p>
  <w:p w:rsidR="00000000" w:rsidDel="00000000" w:rsidP="00000000" w:rsidRDefault="00000000" w:rsidRPr="00000000" w14:paraId="000000D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lvl w:ilvl="0">
      <w:start w:val="3"/>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3">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4">
    <w:lvl w:ilvl="0">
      <w:start w:val="2"/>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Letter"/>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4"/>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53C9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514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49E"/>
  </w:style>
  <w:style w:type="paragraph" w:styleId="Footer">
    <w:name w:val="footer"/>
    <w:basedOn w:val="Normal"/>
    <w:link w:val="FooterChar"/>
    <w:uiPriority w:val="99"/>
    <w:unhideWhenUsed w:val="1"/>
    <w:rsid w:val="002514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cs="Times New Roman" w:eastAsia="Times New Roman" w:hAnsi="Arial"/>
      <w:color w:val="000000"/>
      <w:sz w:val="20"/>
      <w:szCs w:val="20"/>
      <w:lang w:val="en-US"/>
    </w:rPr>
  </w:style>
  <w:style w:type="character" w:styleId="BodyTextChar" w:customStyle="1">
    <w:name w:val="Body Text Char"/>
    <w:basedOn w:val="DefaultParagraphFont"/>
    <w:link w:val="BodyText"/>
    <w:rsid w:val="006E0345"/>
    <w:rPr>
      <w:rFonts w:ascii="Arial" w:cs="Times New Roman" w:eastAsia="Times New Roman" w:hAnsi="Arial"/>
      <w:color w:val="000000"/>
      <w:sz w:val="20"/>
      <w:szCs w:val="20"/>
      <w:lang w:val="en-US"/>
    </w:rPr>
  </w:style>
  <w:style w:type="numbering" w:styleId="Style1" w:custom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cs="Times New Roman" w:eastAsia="Times New Roman" w:hAnsi="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link w:val="DefaultChar"/>
    <w:rsid w:val="00EA0645"/>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BodySingle" w:customStyle="1">
    <w:name w:val="Body Single"/>
    <w:rsid w:val="009F68E0"/>
    <w:pPr>
      <w:widowControl w:val="0"/>
      <w:autoSpaceDE w:val="0"/>
      <w:autoSpaceDN w:val="0"/>
      <w:adjustRightInd w:val="0"/>
      <w:spacing w:after="0" w:line="240" w:lineRule="auto"/>
    </w:pPr>
    <w:rPr>
      <w:rFonts w:ascii="Times New Roman" w:cs="Times New Roman" w:eastAsia="Times New Roman" w:hAnsi="Times New Roman"/>
      <w:color w:val="000000"/>
      <w:sz w:val="20"/>
      <w:szCs w:val="24"/>
      <w:lang w:val="en-US"/>
    </w:rPr>
  </w:style>
  <w:style w:type="paragraph" w:styleId="Bullet1" w:customStyle="1">
    <w:name w:val="Bullet 1"/>
    <w:rsid w:val="009F68E0"/>
    <w:pPr>
      <w:widowControl w:val="0"/>
      <w:autoSpaceDE w:val="0"/>
      <w:autoSpaceDN w:val="0"/>
      <w:adjustRightInd w:val="0"/>
      <w:spacing w:after="0" w:line="240" w:lineRule="auto"/>
      <w:ind w:left="576"/>
    </w:pPr>
    <w:rPr>
      <w:rFonts w:ascii="Times New Roman" w:cs="Times New Roman" w:eastAsia="Times New Roman" w:hAnsi="Times New Roman"/>
      <w:color w:val="000000"/>
      <w:sz w:val="20"/>
      <w:szCs w:val="24"/>
      <w:lang w:val="en-US"/>
    </w:rPr>
  </w:style>
  <w:style w:type="paragraph" w:styleId="ListParagraph">
    <w:name w:val="List Paragraph"/>
    <w:basedOn w:val="Normal"/>
    <w:uiPriority w:val="34"/>
    <w:qFormat w:val="1"/>
    <w:rsid w:val="009F68E0"/>
    <w:pPr>
      <w:spacing w:after="0" w:line="240" w:lineRule="auto"/>
      <w:ind w:left="720"/>
    </w:pPr>
    <w:rPr>
      <w:rFonts w:ascii="Times New Roman" w:cs="Times New Roman" w:eastAsia="Times New Roman" w:hAnsi="Times New Roman"/>
      <w:sz w:val="24"/>
      <w:szCs w:val="24"/>
    </w:rPr>
  </w:style>
  <w:style w:type="paragraph" w:styleId="Heading" w:customStyle="1">
    <w:name w:val="Heading"/>
    <w:basedOn w:val="Normal"/>
    <w:link w:val="HeadingChar"/>
    <w:qFormat w:val="1"/>
    <w:rsid w:val="00DF08E7"/>
    <w:pPr>
      <w:spacing w:after="0" w:line="240" w:lineRule="auto"/>
    </w:pPr>
    <w:rPr>
      <w:rFonts w:ascii="Arial" w:cs="Arial" w:hAnsi="Arial"/>
      <w:b w:val="1"/>
      <w:color w:val="e40038"/>
      <w:sz w:val="56"/>
      <w:szCs w:val="34"/>
    </w:rPr>
  </w:style>
  <w:style w:type="paragraph" w:styleId="SubHeading" w:customStyle="1">
    <w:name w:val="Sub Heading"/>
    <w:basedOn w:val="Normal"/>
    <w:link w:val="SubHeadingChar"/>
    <w:qFormat w:val="1"/>
    <w:rsid w:val="00DF08E7"/>
    <w:pPr>
      <w:spacing w:after="0" w:line="240" w:lineRule="auto"/>
    </w:pPr>
    <w:rPr>
      <w:rFonts w:ascii="Arial" w:cs="Arial" w:hAnsi="Arial"/>
      <w:b w:val="1"/>
      <w:color w:val="253143"/>
      <w:sz w:val="32"/>
    </w:rPr>
  </w:style>
  <w:style w:type="character" w:styleId="HeadingChar" w:customStyle="1">
    <w:name w:val="Heading Char"/>
    <w:basedOn w:val="DefaultParagraphFont"/>
    <w:link w:val="Heading"/>
    <w:rsid w:val="00DF08E7"/>
    <w:rPr>
      <w:rFonts w:ascii="Arial" w:cs="Arial" w:hAnsi="Arial"/>
      <w:b w:val="1"/>
      <w:color w:val="e40038"/>
      <w:sz w:val="56"/>
      <w:szCs w:val="34"/>
    </w:rPr>
  </w:style>
  <w:style w:type="paragraph" w:styleId="BodyBoldBlue" w:customStyle="1">
    <w:name w:val="Body Bold Blue"/>
    <w:basedOn w:val="Default"/>
    <w:link w:val="BodyBoldBlueChar"/>
    <w:qFormat w:val="1"/>
    <w:rsid w:val="00DF08E7"/>
    <w:pPr>
      <w:jc w:val="both"/>
    </w:pPr>
    <w:rPr>
      <w:b w:val="1"/>
      <w:color w:val="253143"/>
      <w:sz w:val="18"/>
      <w:szCs w:val="20"/>
    </w:rPr>
  </w:style>
  <w:style w:type="character" w:styleId="SubHeadingChar" w:customStyle="1">
    <w:name w:val="Sub Heading Char"/>
    <w:basedOn w:val="DefaultParagraphFont"/>
    <w:link w:val="SubHeading"/>
    <w:rsid w:val="00DF08E7"/>
    <w:rPr>
      <w:rFonts w:ascii="Arial" w:cs="Arial" w:hAnsi="Arial"/>
      <w:b w:val="1"/>
      <w:color w:val="253143"/>
      <w:sz w:val="32"/>
    </w:rPr>
  </w:style>
  <w:style w:type="paragraph" w:styleId="BodyBoldRed" w:customStyle="1">
    <w:name w:val="Body Bold Red"/>
    <w:basedOn w:val="Default"/>
    <w:link w:val="BodyBoldRedChar"/>
    <w:qFormat w:val="1"/>
    <w:rsid w:val="00DF08E7"/>
    <w:pPr>
      <w:numPr>
        <w:numId w:val="2"/>
      </w:numPr>
      <w:jc w:val="both"/>
    </w:pPr>
    <w:rPr>
      <w:b w:val="1"/>
      <w:bCs w:val="1"/>
      <w:color w:val="e40038"/>
      <w:sz w:val="18"/>
      <w:szCs w:val="18"/>
    </w:rPr>
  </w:style>
  <w:style w:type="character" w:styleId="DefaultChar" w:customStyle="1">
    <w:name w:val="Default Char"/>
    <w:basedOn w:val="DefaultParagraphFont"/>
    <w:link w:val="Default"/>
    <w:rsid w:val="00DF08E7"/>
    <w:rPr>
      <w:rFonts w:ascii="Arial" w:cs="Arial" w:eastAsia="Times New Roman" w:hAnsi="Arial"/>
      <w:color w:val="000000"/>
      <w:sz w:val="24"/>
      <w:szCs w:val="24"/>
      <w:lang w:eastAsia="en-GB"/>
    </w:rPr>
  </w:style>
  <w:style w:type="character" w:styleId="BodyBoldBlueChar" w:customStyle="1">
    <w:name w:val="Body Bold Blue Char"/>
    <w:basedOn w:val="DefaultChar"/>
    <w:link w:val="BodyBoldBlue"/>
    <w:rsid w:val="00DF08E7"/>
    <w:rPr>
      <w:rFonts w:ascii="Arial" w:cs="Arial" w:eastAsia="Times New Roman" w:hAnsi="Arial"/>
      <w:b w:val="1"/>
      <w:color w:val="253143"/>
      <w:sz w:val="18"/>
      <w:szCs w:val="20"/>
      <w:lang w:eastAsia="en-GB"/>
    </w:rPr>
  </w:style>
  <w:style w:type="paragraph" w:styleId="GaramondBody" w:customStyle="1">
    <w:name w:val="Garamond Body"/>
    <w:basedOn w:val="Default"/>
    <w:link w:val="GaramondBodyChar"/>
    <w:qFormat w:val="1"/>
    <w:rsid w:val="008B6FF0"/>
    <w:pPr>
      <w:jc w:val="both"/>
    </w:pPr>
    <w:rPr>
      <w:rFonts w:ascii="Garamond" w:hAnsi="Garamond"/>
      <w:color w:val="615c5d"/>
      <w:sz w:val="18"/>
      <w:szCs w:val="18"/>
    </w:rPr>
  </w:style>
  <w:style w:type="character" w:styleId="BodyBoldRedChar" w:customStyle="1">
    <w:name w:val="Body Bold Red Char"/>
    <w:basedOn w:val="DefaultChar"/>
    <w:link w:val="BodyBoldRed"/>
    <w:rsid w:val="00DF08E7"/>
    <w:rPr>
      <w:rFonts w:ascii="Arial" w:cs="Arial" w:eastAsia="Times New Roman" w:hAnsi="Arial"/>
      <w:b w:val="1"/>
      <w:bCs w:val="1"/>
      <w:color w:val="e40038"/>
      <w:sz w:val="18"/>
      <w:szCs w:val="18"/>
      <w:lang w:eastAsia="en-GB"/>
    </w:rPr>
  </w:style>
  <w:style w:type="paragraph" w:styleId="NoSpacing">
    <w:name w:val="No Spacing"/>
    <w:uiPriority w:val="1"/>
    <w:rsid w:val="00DF08E7"/>
    <w:pPr>
      <w:spacing w:after="0" w:line="240" w:lineRule="auto"/>
    </w:pPr>
  </w:style>
  <w:style w:type="character" w:styleId="GaramondBodyChar" w:customStyle="1">
    <w:name w:val="Garamond Body Char"/>
    <w:basedOn w:val="DefaultChar"/>
    <w:link w:val="GaramondBody"/>
    <w:rsid w:val="00DF08E7"/>
    <w:rPr>
      <w:rFonts w:ascii="Garamond" w:cs="Arial" w:eastAsia="Times New Roman" w:hAnsi="Garamond"/>
      <w:color w:val="615c5d"/>
      <w:sz w:val="18"/>
      <w:szCs w:val="18"/>
      <w:lang w:eastAsia="en-GB"/>
    </w:rPr>
  </w:style>
  <w:style w:type="paragraph" w:styleId="SubHeading0" w:customStyle="1">
    <w:name w:val="SubHeading"/>
    <w:basedOn w:val="Normal"/>
    <w:link w:val="SubHeadingChar0"/>
    <w:qFormat w:val="1"/>
    <w:rsid w:val="00853C90"/>
    <w:pPr>
      <w:spacing w:after="0" w:line="276" w:lineRule="auto"/>
      <w:jc w:val="both"/>
    </w:pPr>
    <w:rPr>
      <w:rFonts w:ascii="Arial" w:hAnsi="Arial"/>
      <w:b w:val="1"/>
      <w:color w:val="e40038"/>
      <w:sz w:val="18"/>
    </w:rPr>
  </w:style>
  <w:style w:type="character" w:styleId="SubHeadingChar0" w:customStyle="1">
    <w:name w:val="SubHeading Char"/>
    <w:basedOn w:val="DefaultParagraphFont"/>
    <w:link w:val="SubHeading0"/>
    <w:rsid w:val="00853C90"/>
    <w:rPr>
      <w:rFonts w:ascii="Arial" w:hAnsi="Arial"/>
      <w:b w:val="1"/>
      <w:color w:val="e40038"/>
      <w:sz w:val="18"/>
    </w:rPr>
  </w:style>
  <w:style w:type="paragraph" w:styleId="DefaultText" w:customStyle="1">
    <w:name w:val="Default Text"/>
    <w:rsid w:val="00853C90"/>
    <w:pPr>
      <w:autoSpaceDE w:val="0"/>
      <w:autoSpaceDN w:val="0"/>
      <w:adjustRightInd w:val="0"/>
      <w:spacing w:after="0" w:line="240" w:lineRule="auto"/>
    </w:pPr>
    <w:rPr>
      <w:rFonts w:ascii="Arial" w:cs="Arial" w:hAnsi="Arial"/>
      <w:color w:val="000000"/>
      <w:sz w:val="20"/>
      <w:szCs w:val="20"/>
    </w:rPr>
  </w:style>
  <w:style w:type="paragraph" w:styleId="GaramondBold" w:customStyle="1">
    <w:name w:val="Garamond Bold"/>
    <w:basedOn w:val="GaramondBody"/>
    <w:link w:val="GaramondBoldChar"/>
    <w:qFormat w:val="1"/>
    <w:rsid w:val="00AF6E77"/>
    <w:rPr>
      <w:b w:val="1"/>
    </w:rPr>
  </w:style>
  <w:style w:type="character" w:styleId="IntenseEmphasis">
    <w:name w:val="Intense Emphasis"/>
    <w:aliases w:val="Main Text"/>
    <w:uiPriority w:val="21"/>
    <w:qFormat w:val="1"/>
    <w:rsid w:val="00D83E26"/>
    <w:rPr>
      <w:rFonts w:ascii="Swis721 Lt BT" w:hAnsi="Swis721 Lt BT"/>
      <w:color w:val="auto"/>
      <w:sz w:val="20"/>
    </w:rPr>
  </w:style>
  <w:style w:type="character" w:styleId="GaramondBoldChar" w:customStyle="1">
    <w:name w:val="Garamond Bold Char"/>
    <w:basedOn w:val="GaramondBodyChar"/>
    <w:link w:val="GaramondBold"/>
    <w:rsid w:val="00AF6E77"/>
    <w:rPr>
      <w:rFonts w:ascii="Garamond" w:cs="Arial" w:eastAsia="Times New Roman" w:hAnsi="Garamond"/>
      <w:b w:val="1"/>
      <w:color w:val="615c5d"/>
      <w:sz w:val="18"/>
      <w:szCs w:val="18"/>
      <w:lang w:eastAsia="en-GB"/>
    </w:rPr>
  </w:style>
  <w:style w:type="paragraph" w:styleId="Pa6" w:customStyle="1">
    <w:name w:val="Pa6"/>
    <w:basedOn w:val="Normal"/>
    <w:next w:val="Normal"/>
    <w:uiPriority w:val="99"/>
    <w:rsid w:val="00D83E26"/>
    <w:pPr>
      <w:widowControl w:val="0"/>
      <w:autoSpaceDE w:val="0"/>
      <w:autoSpaceDN w:val="0"/>
      <w:adjustRightInd w:val="0"/>
      <w:spacing w:after="0" w:line="201" w:lineRule="atLeast"/>
    </w:pPr>
    <w:rPr>
      <w:rFonts w:ascii="Trebuchet MS" w:cs="Times New Roman" w:eastAsia="Times" w:hAnsi="Trebuchet MS"/>
      <w:sz w:val="24"/>
      <w:szCs w:val="24"/>
      <w:lang w:val="en-US"/>
    </w:rPr>
  </w:style>
  <w:style w:type="paragraph" w:styleId="TableText" w:customStyle="1">
    <w:name w:val="Table Text"/>
    <w:rsid w:val="003D2348"/>
    <w:pPr>
      <w:widowControl w:val="0"/>
      <w:autoSpaceDE w:val="0"/>
      <w:autoSpaceDN w:val="0"/>
      <w:adjustRightInd w:val="0"/>
      <w:spacing w:after="0" w:line="240" w:lineRule="auto"/>
    </w:pPr>
    <w:rPr>
      <w:rFonts w:ascii="Arial" w:cs="Times New Roman" w:eastAsia="Times New Roman" w:hAnsi="Arial"/>
      <w:noProof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0" w:type="dxa"/>
        <w:left w:w="115.0" w:type="dxa"/>
        <w:bottom w:w="11.0" w:type="dxa"/>
        <w:right w:w="115.0" w:type="dxa"/>
      </w:tblCellMar>
    </w:tblPr>
  </w:style>
  <w:style w:type="table" w:styleId="Table2">
    <w:basedOn w:val="TableNormal"/>
    <w:tblPr>
      <w:tblStyleRowBandSize w:val="1"/>
      <w:tblStyleColBandSize w:val="1"/>
      <w:tblCellMar>
        <w:top w:w="11.0" w:type="dxa"/>
        <w:left w:w="115.0" w:type="dxa"/>
        <w:bottom w:w="11.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nottinghillcollege.net" TargetMode="External"/><Relationship Id="rId8" Type="http://schemas.openxmlformats.org/officeDocument/2006/relationships/hyperlink" Target="mailto:gabrielle.hargreaves@nottinghillcollege.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vo0oIJP2YjX4X5SuuXn9fz+jg==">CgMxLjAyDmgubHloMHBuejNpNnpxMg5oLnIycjZrcm1sNW95djIOaC5lenRjMW9qbGFtenoyDmguZnBtcHFoZHRnemIxMg5oLmozZmpzeXZjMzRhbzIOaC52NTJweTZ5dW5yNHIyDmguMXg2bDMybWtlZW5oOAByITFvN1p6MmxXay12X3RPOVR4RDNCZmFldzY0V0xnLWo1Sg==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2016-06-10T12:35:00Z</dcterms:created>
  <dc:creator>David Hawkins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7427834a-295d-4ccb-99da-851e282d6161</vt:lpwstr>
  </property>
  <property fmtid="{D5CDD505-2E9C-101B-9397-08002B2CF9AE}" pid="4" name="Clauses">
    <vt:lpwstr>Clauses</vt:lpwstr>
  </property>
  <property fmtid="{D5CDD505-2E9C-101B-9397-08002B2CF9AE}" pid="5" name="Document Pack GB">
    <vt:lpwstr>Document Pack GB</vt:lpwstr>
  </property>
  <property fmtid="{D5CDD505-2E9C-101B-9397-08002B2CF9AE}" pid="6" name="Industry Type">
    <vt:lpwstr>Industry Type</vt:lpwstr>
  </property>
  <property fmtid="{D5CDD505-2E9C-101B-9397-08002B2CF9AE}" pid="7" name="Caveats">
    <vt:lpwstr>Caveats</vt:lpwstr>
  </property>
  <property fmtid="{D5CDD505-2E9C-101B-9397-08002B2CF9AE}" pid="8" name="Document Type">
    <vt:lpwstr>6;#Stationery|7e1e5c5b-368e-4019-a948-b4d7e9c142b9</vt:lpwstr>
  </property>
  <property fmtid="{D5CDD505-2E9C-101B-9397-08002B2CF9AE}" pid="9" name="Contract Type">
    <vt:lpwstr>Contract Type</vt:lpwstr>
  </property>
  <property fmtid="{D5CDD505-2E9C-101B-9397-08002B2CF9AE}" pid="10" name="Location">
    <vt:lpwstr>11;#England|f871836e-7dba-4a6c-aa3a-de357482fdaa</vt:lpwstr>
  </property>
  <property fmtid="{D5CDD505-2E9C-101B-9397-08002B2CF9AE}" pid="11" name="Jurisdiction">
    <vt:lpwstr>251;#Great Britain|c309838f-918d-4ea1-8e5d-e0ba9a815d04;#263;#Jersey|da360877-83db-4fc5-bff6-1a2c69621007;#254;#Guernsey|11c2795c-e1fc-444b-8c57-0bd6fe35483b;#260;#Isle of Man|42fb4f62-e761-4cf0-96cf-6fff3706cfd8</vt:lpwstr>
  </property>
  <property fmtid="{D5CDD505-2E9C-101B-9397-08002B2CF9AE}" pid="12" name="Types">
    <vt:lpwstr>268;#HR Forms|d2dda6e8-23ed-49fb-ae68-f4fcb5e566bd</vt:lpwstr>
  </property>
</Properties>
</file>